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2EF72" w14:textId="5755859C" w:rsidR="00510E02" w:rsidRDefault="00510E02" w:rsidP="00510E0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Pr>
          <w:rFonts w:ascii="Arial" w:eastAsia="SimSun" w:hAnsi="Arial" w:cs="Times New Roman"/>
          <w:b/>
          <w:bCs/>
          <w:sz w:val="24"/>
          <w:szCs w:val="20"/>
        </w:rPr>
        <w:t>3GPP T</w:t>
      </w:r>
      <w:bookmarkStart w:id="2" w:name="_Ref452454252"/>
      <w:bookmarkEnd w:id="2"/>
      <w:r>
        <w:rPr>
          <w:rFonts w:ascii="Arial" w:eastAsia="SimSun" w:hAnsi="Arial" w:cs="Times New Roman"/>
          <w:b/>
          <w:bCs/>
          <w:sz w:val="24"/>
          <w:szCs w:val="20"/>
        </w:rPr>
        <w:t xml:space="preserve">SG-RAN </w:t>
      </w:r>
      <w:r>
        <w:rPr>
          <w:rFonts w:ascii="Arial" w:eastAsia="SimSun" w:hAnsi="Arial" w:cs="Times New Roman"/>
          <w:b/>
          <w:sz w:val="24"/>
          <w:szCs w:val="20"/>
        </w:rPr>
        <w:t xml:space="preserve">WG4 Meeting #106bis-e </w:t>
      </w:r>
      <w:r>
        <w:rPr>
          <w:rFonts w:ascii="Arial" w:eastAsia="SimSun" w:hAnsi="Arial" w:cs="Times New Roman"/>
          <w:b/>
          <w:bCs/>
          <w:sz w:val="24"/>
          <w:szCs w:val="20"/>
        </w:rPr>
        <w:tab/>
      </w:r>
      <w:r w:rsidR="00626B42" w:rsidRPr="00626B42">
        <w:rPr>
          <w:rFonts w:ascii="Arial" w:eastAsia="SimSun" w:hAnsi="Arial" w:cs="Times New Roman"/>
          <w:b/>
          <w:bCs/>
          <w:sz w:val="24"/>
          <w:szCs w:val="20"/>
          <w:lang w:eastAsia="ja-JP"/>
        </w:rPr>
        <w:t>R4-2304275</w:t>
      </w:r>
    </w:p>
    <w:p w14:paraId="7638C938" w14:textId="77777777" w:rsidR="00510E02" w:rsidRDefault="00510E02" w:rsidP="00510E0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 April 17 – 26, 2023</w:t>
      </w:r>
    </w:p>
    <w:bookmarkEnd w:id="0"/>
    <w:bookmarkEnd w:id="1"/>
    <w:p w14:paraId="7B8C5D41" w14:textId="77777777" w:rsidR="00510E02" w:rsidRDefault="00510E02" w:rsidP="00510E02">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2E286D1" w14:textId="77777777" w:rsidR="00510E02" w:rsidRDefault="00510E02" w:rsidP="00510E02">
      <w:pPr>
        <w:tabs>
          <w:tab w:val="left" w:pos="1985"/>
        </w:tabs>
        <w:ind w:left="1985" w:hanging="1985"/>
        <w:rPr>
          <w:rFonts w:ascii="Arial" w:eastAsia="Calibri" w:hAnsi="Arial" w:cs="Arial"/>
          <w:b/>
          <w:bCs/>
          <w:sz w:val="24"/>
        </w:rPr>
      </w:pPr>
      <w:r>
        <w:rPr>
          <w:rFonts w:ascii="Arial" w:eastAsia="Calibri" w:hAnsi="Arial" w:cs="Arial"/>
          <w:b/>
          <w:bCs/>
          <w:sz w:val="24"/>
        </w:rPr>
        <w:t>Source:</w:t>
      </w:r>
      <w:r>
        <w:rPr>
          <w:rFonts w:ascii="Arial" w:eastAsia="Calibri" w:hAnsi="Arial" w:cs="Arial"/>
          <w:b/>
          <w:bCs/>
          <w:sz w:val="24"/>
        </w:rPr>
        <w:tab/>
        <w:t>Nokia, Nokia Shanghai Bell</w:t>
      </w:r>
    </w:p>
    <w:p w14:paraId="575AD1AC" w14:textId="55441882" w:rsidR="00510E02" w:rsidRDefault="00510E02" w:rsidP="00510E02">
      <w:pPr>
        <w:ind w:left="1985" w:hanging="1985"/>
        <w:rPr>
          <w:rFonts w:ascii="Arial" w:eastAsia="Calibri" w:hAnsi="Arial" w:cs="Arial"/>
          <w:b/>
          <w:bCs/>
          <w:sz w:val="24"/>
        </w:rPr>
      </w:pPr>
      <w:r>
        <w:rPr>
          <w:rFonts w:ascii="Arial" w:eastAsia="Calibri" w:hAnsi="Arial" w:cs="Arial"/>
          <w:b/>
          <w:bCs/>
          <w:sz w:val="24"/>
        </w:rPr>
        <w:t>Title:</w:t>
      </w:r>
      <w:r>
        <w:rPr>
          <w:rFonts w:ascii="Arial" w:eastAsia="Calibri" w:hAnsi="Arial" w:cs="Arial"/>
          <w:b/>
          <w:bCs/>
          <w:sz w:val="24"/>
        </w:rPr>
        <w:tab/>
      </w:r>
      <w:r w:rsidR="00081CE0">
        <w:rPr>
          <w:rFonts w:ascii="Arial" w:eastAsia="Calibri" w:hAnsi="Arial" w:cs="Arial"/>
          <w:b/>
          <w:bCs/>
          <w:sz w:val="24"/>
        </w:rPr>
        <w:t xml:space="preserve">System </w:t>
      </w:r>
      <w:r w:rsidR="009420E8">
        <w:rPr>
          <w:rFonts w:ascii="Arial" w:eastAsia="Calibri" w:hAnsi="Arial" w:cs="Arial"/>
          <w:b/>
          <w:bCs/>
          <w:sz w:val="24"/>
        </w:rPr>
        <w:t>S</w:t>
      </w:r>
      <w:r w:rsidR="00081CE0">
        <w:rPr>
          <w:rFonts w:ascii="Arial" w:eastAsia="Calibri" w:hAnsi="Arial" w:cs="Arial"/>
          <w:b/>
          <w:bCs/>
          <w:sz w:val="24"/>
        </w:rPr>
        <w:t xml:space="preserve">imulations </w:t>
      </w:r>
      <w:r w:rsidR="009420E8">
        <w:rPr>
          <w:rFonts w:ascii="Arial" w:eastAsia="Calibri" w:hAnsi="Arial" w:cs="Arial"/>
          <w:b/>
          <w:bCs/>
          <w:sz w:val="24"/>
        </w:rPr>
        <w:t>R</w:t>
      </w:r>
      <w:r w:rsidR="00081CE0">
        <w:rPr>
          <w:rFonts w:ascii="Arial" w:eastAsia="Calibri" w:hAnsi="Arial" w:cs="Arial"/>
          <w:b/>
          <w:bCs/>
          <w:sz w:val="24"/>
        </w:rPr>
        <w:t>esults</w:t>
      </w:r>
      <w:r>
        <w:rPr>
          <w:rFonts w:ascii="Arial" w:eastAsia="Calibri" w:hAnsi="Arial" w:cs="Arial"/>
          <w:b/>
          <w:bCs/>
          <w:sz w:val="24"/>
        </w:rPr>
        <w:t xml:space="preserve"> </w:t>
      </w:r>
      <w:r w:rsidR="009420E8">
        <w:rPr>
          <w:rFonts w:ascii="Arial" w:eastAsia="Calibri" w:hAnsi="Arial" w:cs="Arial"/>
          <w:b/>
          <w:bCs/>
          <w:sz w:val="24"/>
        </w:rPr>
        <w:t xml:space="preserve">for </w:t>
      </w:r>
      <w:r>
        <w:rPr>
          <w:rFonts w:ascii="Arial" w:eastAsia="Calibri" w:hAnsi="Arial" w:cs="Arial"/>
          <w:b/>
          <w:bCs/>
          <w:sz w:val="24"/>
        </w:rPr>
        <w:t>Tunnel Deployment Scenario in HST FR2 Enhanced</w:t>
      </w:r>
    </w:p>
    <w:p w14:paraId="522A93D7" w14:textId="69CAD485" w:rsidR="00510E02" w:rsidRDefault="00510E02" w:rsidP="00510E02">
      <w:pPr>
        <w:tabs>
          <w:tab w:val="left" w:pos="1985"/>
        </w:tabs>
        <w:spacing w:after="120" w:line="240" w:lineRule="auto"/>
        <w:rPr>
          <w:rFonts w:ascii="Arial" w:eastAsia="MS Mincho"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t>5.1</w:t>
      </w:r>
      <w:r w:rsidR="00744B84">
        <w:rPr>
          <w:rFonts w:ascii="Arial" w:eastAsia="MS Mincho" w:hAnsi="Arial" w:cs="Arial"/>
          <w:b/>
          <w:bCs/>
          <w:sz w:val="24"/>
          <w:szCs w:val="20"/>
          <w:lang w:val="en-150"/>
        </w:rPr>
        <w:t>3</w:t>
      </w:r>
      <w:r>
        <w:rPr>
          <w:rFonts w:ascii="Arial" w:eastAsia="MS Mincho" w:hAnsi="Arial" w:cs="Arial"/>
          <w:b/>
          <w:bCs/>
          <w:sz w:val="24"/>
          <w:szCs w:val="20"/>
        </w:rPr>
        <w:t>.4.4</w:t>
      </w:r>
    </w:p>
    <w:p w14:paraId="46768F93" w14:textId="12D5DB7D" w:rsidR="00510E02" w:rsidRDefault="00510E02" w:rsidP="00510E02">
      <w:pPr>
        <w:tabs>
          <w:tab w:val="left" w:pos="1985"/>
        </w:tabs>
        <w:rPr>
          <w:rFonts w:ascii="Arial" w:eastAsia="Calibri" w:hAnsi="Arial" w:cs="Arial"/>
          <w:b/>
          <w:bCs/>
          <w:sz w:val="24"/>
        </w:rPr>
      </w:pPr>
      <w:r>
        <w:rPr>
          <w:rFonts w:ascii="Arial" w:eastAsia="Calibri" w:hAnsi="Arial" w:cs="Arial"/>
          <w:b/>
          <w:bCs/>
          <w:sz w:val="24"/>
        </w:rPr>
        <w:t>Document for:</w:t>
      </w:r>
      <w:r>
        <w:rPr>
          <w:rFonts w:ascii="Arial" w:eastAsia="Calibri" w:hAnsi="Arial" w:cs="Arial"/>
          <w:b/>
          <w:bCs/>
          <w:sz w:val="24"/>
        </w:rPr>
        <w:tab/>
        <w:t>Information</w:t>
      </w:r>
    </w:p>
    <w:p w14:paraId="13110525" w14:textId="77777777" w:rsidR="00E323E9" w:rsidRPr="00EF698B" w:rsidRDefault="00E323E9" w:rsidP="00841BCD">
      <w:pPr>
        <w:tabs>
          <w:tab w:val="left" w:pos="1985"/>
        </w:tabs>
        <w:rPr>
          <w:rFonts w:ascii="Arial" w:eastAsia="Calibri" w:hAnsi="Arial" w:cs="Arial"/>
          <w:b/>
          <w:bCs/>
          <w:sz w:val="24"/>
        </w:rPr>
      </w:pPr>
    </w:p>
    <w:p w14:paraId="0EFF0C2D" w14:textId="77777777" w:rsidR="00841BCD" w:rsidRPr="00EF698B" w:rsidRDefault="00841BCD" w:rsidP="00A37002">
      <w:pPr>
        <w:pStyle w:val="RAN4H1"/>
        <w:rPr>
          <w:lang w:val="en-US"/>
        </w:rPr>
      </w:pPr>
      <w:bookmarkStart w:id="3" w:name="_Toc116995841"/>
      <w:bookmarkStart w:id="4" w:name="_Ref131625174"/>
      <w:r w:rsidRPr="00EF698B">
        <w:rPr>
          <w:lang w:val="en-US"/>
        </w:rPr>
        <w:t>Intro</w:t>
      </w:r>
      <w:r w:rsidRPr="00EF698B">
        <w:rPr>
          <w:rStyle w:val="RAN4H1Char"/>
          <w:lang w:val="en-US"/>
        </w:rPr>
        <w:t>ductio</w:t>
      </w:r>
      <w:r w:rsidRPr="00EF698B">
        <w:rPr>
          <w:lang w:val="en-US"/>
        </w:rPr>
        <w:t>n</w:t>
      </w:r>
      <w:bookmarkEnd w:id="3"/>
      <w:bookmarkEnd w:id="4"/>
    </w:p>
    <w:p w14:paraId="0AE53FD7" w14:textId="159E6FF7" w:rsidR="00510E02" w:rsidRDefault="00510E02" w:rsidP="00510E02">
      <w:pPr>
        <w:spacing w:line="252" w:lineRule="auto"/>
        <w:rPr>
          <w:rFonts w:eastAsia="Calibri" w:cs="Times New Roman"/>
        </w:rPr>
      </w:pPr>
      <w:r>
        <w:rPr>
          <w:rFonts w:eastAsia="Calibri" w:cs="Times New Roman"/>
        </w:rPr>
        <w:t xml:space="preserve">HST FR2 tunnel deployment is one of the objectives to be studied </w:t>
      </w:r>
      <w:r w:rsidR="00847465">
        <w:rPr>
          <w:rFonts w:eastAsia="Calibri" w:cs="Times New Roman"/>
        </w:rPr>
        <w:t xml:space="preserve">which is </w:t>
      </w:r>
      <w:r>
        <w:rPr>
          <w:rFonts w:eastAsia="Calibri" w:cs="Times New Roman"/>
        </w:rPr>
        <w:t xml:space="preserve">listed in the NR_HST_FR2_Enh WI </w:t>
      </w:r>
      <w:r>
        <w:rPr>
          <w:rFonts w:eastAsia="Calibri" w:cs="Times New Roman"/>
        </w:rPr>
        <w:fldChar w:fldCharType="begin"/>
      </w:r>
      <w:r>
        <w:rPr>
          <w:rFonts w:eastAsia="Calibri" w:cs="Times New Roman"/>
        </w:rPr>
        <w:instrText xml:space="preserve"> REF _Ref118741312 \r \h </w:instrText>
      </w:r>
      <w:r>
        <w:rPr>
          <w:rFonts w:eastAsia="Calibri" w:cs="Times New Roman"/>
        </w:rPr>
      </w:r>
      <w:r>
        <w:rPr>
          <w:rFonts w:eastAsia="Calibri" w:cs="Times New Roman"/>
        </w:rPr>
        <w:fldChar w:fldCharType="separate"/>
      </w:r>
      <w:r w:rsidR="0087209C">
        <w:rPr>
          <w:rFonts w:eastAsia="Calibri" w:cs="Times New Roman"/>
        </w:rPr>
        <w:t>[1]</w:t>
      </w:r>
      <w:r>
        <w:rPr>
          <w:rFonts w:eastAsia="Calibri" w:cs="Times New Roman"/>
        </w:rPr>
        <w:fldChar w:fldCharType="end"/>
      </w:r>
      <w:r>
        <w:rPr>
          <w:rFonts w:eastAsia="Calibri" w:cs="Times New Roman"/>
        </w:rPr>
        <w:t>:</w:t>
      </w:r>
    </w:p>
    <w:tbl>
      <w:tblPr>
        <w:tblStyle w:val="TableGrid1"/>
        <w:tblW w:w="0" w:type="auto"/>
        <w:jc w:val="center"/>
        <w:tblInd w:w="0" w:type="dxa"/>
        <w:tblLook w:val="04A0" w:firstRow="1" w:lastRow="0" w:firstColumn="1" w:lastColumn="0" w:noHBand="0" w:noVBand="1"/>
      </w:tblPr>
      <w:tblGrid>
        <w:gridCol w:w="9000"/>
      </w:tblGrid>
      <w:tr w:rsidR="00510E02" w14:paraId="76C919EA" w14:textId="77777777" w:rsidTr="00510E02">
        <w:trPr>
          <w:jc w:val="center"/>
        </w:trPr>
        <w:tc>
          <w:tcPr>
            <w:tcW w:w="9000" w:type="dxa"/>
            <w:tcBorders>
              <w:top w:val="single" w:sz="4" w:space="0" w:color="auto"/>
              <w:left w:val="single" w:sz="4" w:space="0" w:color="auto"/>
              <w:bottom w:val="single" w:sz="4" w:space="0" w:color="auto"/>
              <w:right w:val="single" w:sz="4" w:space="0" w:color="auto"/>
            </w:tcBorders>
            <w:hideMark/>
          </w:tcPr>
          <w:p w14:paraId="17CEE237" w14:textId="77777777" w:rsidR="00510E02" w:rsidRDefault="00510E02" w:rsidP="00510E02">
            <w:pPr>
              <w:numPr>
                <w:ilvl w:val="0"/>
                <w:numId w:val="44"/>
              </w:numPr>
              <w:spacing w:line="252" w:lineRule="auto"/>
            </w:pPr>
            <w:bookmarkStart w:id="5" w:name="_Hlk130998496"/>
            <w:r>
              <w:rPr>
                <w:szCs w:val="20"/>
                <w:lang w:val="en-GB"/>
              </w:rPr>
              <w:t>Study on reference tunnel deployment scenario for FR2 HST and specify the channel model and corresponding core requirements if any [RAN4]</w:t>
            </w:r>
          </w:p>
        </w:tc>
      </w:tr>
      <w:bookmarkEnd w:id="5"/>
    </w:tbl>
    <w:p w14:paraId="1BF42038" w14:textId="77777777" w:rsidR="00510E02" w:rsidRDefault="00510E02" w:rsidP="00510E02">
      <w:pPr>
        <w:spacing w:line="252" w:lineRule="auto"/>
        <w:rPr>
          <w:rFonts w:eastAsia="Calibri" w:cs="Times New Roman"/>
        </w:rPr>
      </w:pPr>
    </w:p>
    <w:p w14:paraId="7F84C1B5" w14:textId="7B070B31" w:rsidR="00510E02" w:rsidRPr="00744B84" w:rsidRDefault="00510E02" w:rsidP="00510E02">
      <w:pPr>
        <w:spacing w:line="252" w:lineRule="auto"/>
        <w:rPr>
          <w:rFonts w:eastAsia="Calibri" w:cs="Times New Roman"/>
          <w:lang w:val="en-150"/>
        </w:rPr>
      </w:pPr>
      <w:r>
        <w:rPr>
          <w:rFonts w:eastAsia="Calibri" w:cs="Times New Roman"/>
        </w:rPr>
        <w:t>The recent RAN4#106</w:t>
      </w:r>
      <w:r w:rsidR="00744B84">
        <w:rPr>
          <w:rFonts w:eastAsia="Calibri" w:cs="Times New Roman"/>
          <w:lang w:val="en-150"/>
        </w:rPr>
        <w:t xml:space="preserve"> meeting</w:t>
      </w:r>
      <w:r>
        <w:rPr>
          <w:rFonts w:eastAsia="Calibri" w:cs="Times New Roman"/>
        </w:rPr>
        <w:t xml:space="preserve"> made agreements on key aspects of tunnel deployment including general assumption, reference channel model and mobility issues in </w:t>
      </w:r>
      <w:r w:rsidR="00744B84">
        <w:rPr>
          <w:rFonts w:eastAsia="Calibri" w:cs="Times New Roman"/>
          <w:lang w:val="en-150"/>
        </w:rPr>
        <w:t xml:space="preserve">the </w:t>
      </w:r>
      <w:r>
        <w:rPr>
          <w:rFonts w:eastAsia="Calibri" w:cs="Times New Roman"/>
        </w:rPr>
        <w:t xml:space="preserve">tunnel, as follows </w:t>
      </w:r>
      <w:r>
        <w:rPr>
          <w:rFonts w:eastAsia="Calibri" w:cs="Times New Roman"/>
        </w:rPr>
        <w:fldChar w:fldCharType="begin"/>
      </w:r>
      <w:r>
        <w:rPr>
          <w:rFonts w:eastAsia="Calibri" w:cs="Times New Roman"/>
        </w:rPr>
        <w:instrText xml:space="preserve"> REF _Ref118741301 \r \h </w:instrText>
      </w:r>
      <w:r>
        <w:rPr>
          <w:rFonts w:eastAsia="Calibri" w:cs="Times New Roman"/>
        </w:rPr>
      </w:r>
      <w:r>
        <w:rPr>
          <w:rFonts w:eastAsia="Calibri" w:cs="Times New Roman"/>
        </w:rPr>
        <w:fldChar w:fldCharType="separate"/>
      </w:r>
      <w:r w:rsidR="0087209C">
        <w:rPr>
          <w:rFonts w:eastAsia="Calibri" w:cs="Times New Roman"/>
        </w:rPr>
        <w:t>[2]</w:t>
      </w:r>
      <w:r>
        <w:rPr>
          <w:rFonts w:eastAsia="Calibri" w:cs="Times New Roman"/>
        </w:rPr>
        <w:fldChar w:fldCharType="end"/>
      </w:r>
      <w:r w:rsidR="00744B84">
        <w:rPr>
          <w:rFonts w:eastAsia="Calibri" w:cs="Times New Roman"/>
          <w:lang w:val="en-150"/>
        </w:rPr>
        <w:t>:</w:t>
      </w:r>
    </w:p>
    <w:tbl>
      <w:tblPr>
        <w:tblStyle w:val="TableGrid1"/>
        <w:tblW w:w="0" w:type="auto"/>
        <w:jc w:val="center"/>
        <w:tblInd w:w="0" w:type="dxa"/>
        <w:tblLook w:val="04A0" w:firstRow="1" w:lastRow="0" w:firstColumn="1" w:lastColumn="0" w:noHBand="0" w:noVBand="1"/>
      </w:tblPr>
      <w:tblGrid>
        <w:gridCol w:w="9000"/>
      </w:tblGrid>
      <w:tr w:rsidR="00510E02" w:rsidRPr="0007359D" w14:paraId="03422163" w14:textId="77777777" w:rsidTr="00510E02">
        <w:trPr>
          <w:jc w:val="center"/>
        </w:trPr>
        <w:tc>
          <w:tcPr>
            <w:tcW w:w="9000" w:type="dxa"/>
            <w:tcBorders>
              <w:top w:val="single" w:sz="4" w:space="0" w:color="auto"/>
              <w:left w:val="single" w:sz="4" w:space="0" w:color="auto"/>
              <w:bottom w:val="single" w:sz="4" w:space="0" w:color="auto"/>
              <w:right w:val="single" w:sz="4" w:space="0" w:color="auto"/>
            </w:tcBorders>
            <w:hideMark/>
          </w:tcPr>
          <w:p w14:paraId="230833E4" w14:textId="77777777" w:rsidR="00510E02" w:rsidRPr="0007359D" w:rsidRDefault="00510E02" w:rsidP="00510E02">
            <w:pPr>
              <w:pStyle w:val="ListParagraph"/>
              <w:numPr>
                <w:ilvl w:val="0"/>
                <w:numId w:val="45"/>
              </w:numPr>
              <w:spacing w:after="120" w:line="252" w:lineRule="auto"/>
              <w:ind w:left="312" w:hanging="357"/>
              <w:rPr>
                <w:b/>
                <w:bCs/>
                <w:sz w:val="16"/>
                <w:szCs w:val="18"/>
              </w:rPr>
            </w:pPr>
            <w:r w:rsidRPr="0007359D">
              <w:rPr>
                <w:b/>
                <w:bCs/>
                <w:sz w:val="16"/>
                <w:szCs w:val="18"/>
                <w:lang w:val="en-GB"/>
              </w:rPr>
              <w:t>Deployment scenarios</w:t>
            </w:r>
          </w:p>
          <w:p w14:paraId="0CBB847A" w14:textId="77777777" w:rsidR="00510E02" w:rsidRPr="0007359D" w:rsidRDefault="00510E02" w:rsidP="0007359D">
            <w:pPr>
              <w:spacing w:line="252" w:lineRule="auto"/>
              <w:contextualSpacing/>
              <w:rPr>
                <w:b/>
                <w:bCs/>
                <w:sz w:val="16"/>
                <w:szCs w:val="18"/>
              </w:rPr>
            </w:pPr>
            <w:r w:rsidRPr="0007359D">
              <w:rPr>
                <w:b/>
                <w:bCs/>
                <w:sz w:val="16"/>
                <w:szCs w:val="18"/>
              </w:rPr>
              <w:t>Agreement:</w:t>
            </w:r>
          </w:p>
          <w:p w14:paraId="10D5FD36" w14:textId="263DCD9F" w:rsidR="00510E02" w:rsidRPr="0007359D" w:rsidRDefault="00510E02" w:rsidP="00510E02">
            <w:pPr>
              <w:numPr>
                <w:ilvl w:val="0"/>
                <w:numId w:val="46"/>
              </w:numPr>
              <w:spacing w:line="252" w:lineRule="auto"/>
              <w:rPr>
                <w:sz w:val="16"/>
                <w:szCs w:val="18"/>
                <w:lang w:val="en-GB"/>
              </w:rPr>
            </w:pPr>
            <w:r w:rsidRPr="0007359D">
              <w:rPr>
                <w:sz w:val="16"/>
                <w:szCs w:val="18"/>
              </w:rPr>
              <w:t>Scenario#2: Two-panel simultaneous reception scenario and analysis of corresponding transmission schemes in tunnel deployment has lower priority</w:t>
            </w:r>
          </w:p>
          <w:p w14:paraId="7E214BDF" w14:textId="77777777" w:rsidR="0007359D" w:rsidRPr="0007359D" w:rsidRDefault="0007359D" w:rsidP="0007359D">
            <w:pPr>
              <w:rPr>
                <w:b/>
                <w:bCs/>
                <w:sz w:val="16"/>
                <w:szCs w:val="18"/>
                <w:lang w:eastAsia="zh-CN"/>
              </w:rPr>
            </w:pPr>
            <w:r w:rsidRPr="0007359D">
              <w:rPr>
                <w:b/>
                <w:bCs/>
                <w:sz w:val="16"/>
                <w:szCs w:val="18"/>
                <w:lang w:eastAsia="zh-CN"/>
              </w:rPr>
              <w:t>Way forward:</w:t>
            </w:r>
          </w:p>
          <w:p w14:paraId="3E35EF73" w14:textId="0BC8291B" w:rsidR="0007359D" w:rsidRPr="0007359D" w:rsidRDefault="0007359D" w:rsidP="00171001">
            <w:pPr>
              <w:pStyle w:val="ListParagraph"/>
              <w:numPr>
                <w:ilvl w:val="0"/>
                <w:numId w:val="30"/>
              </w:numPr>
              <w:spacing w:after="180" w:line="252" w:lineRule="auto"/>
              <w:ind w:left="735"/>
              <w:contextualSpacing w:val="0"/>
              <w:rPr>
                <w:b/>
                <w:bCs/>
                <w:sz w:val="16"/>
                <w:szCs w:val="18"/>
                <w:lang w:eastAsia="zh-CN"/>
              </w:rPr>
            </w:pPr>
            <w:r w:rsidRPr="0007359D">
              <w:rPr>
                <w:sz w:val="16"/>
                <w:szCs w:val="18"/>
                <w:lang w:eastAsia="zh-CN"/>
              </w:rPr>
              <w:t xml:space="preserve">FFS: feasibility of </w:t>
            </w:r>
            <w:proofErr w:type="spellStart"/>
            <w:r w:rsidRPr="0007359D">
              <w:rPr>
                <w:sz w:val="16"/>
                <w:szCs w:val="18"/>
                <w:lang w:eastAsia="zh-CN"/>
              </w:rPr>
              <w:t>uni</w:t>
            </w:r>
            <w:proofErr w:type="spellEnd"/>
            <w:r w:rsidRPr="0007359D">
              <w:rPr>
                <w:sz w:val="16"/>
                <w:szCs w:val="18"/>
                <w:lang w:eastAsia="zh-CN"/>
              </w:rPr>
              <w:t xml:space="preserve">- and </w:t>
            </w:r>
            <w:r w:rsidRPr="0022571B">
              <w:rPr>
                <w:b/>
                <w:bCs/>
                <w:sz w:val="16"/>
                <w:szCs w:val="18"/>
                <w:lang w:eastAsia="zh-CN"/>
              </w:rPr>
              <w:t>bi-directional RRH deployments in Scenario#1</w:t>
            </w:r>
            <w:r w:rsidRPr="0007359D">
              <w:rPr>
                <w:sz w:val="16"/>
                <w:szCs w:val="18"/>
                <w:lang w:eastAsia="zh-CN"/>
              </w:rPr>
              <w:t xml:space="preserve"> (single-panel reception UE and DPS transition schemes)</w:t>
            </w:r>
          </w:p>
          <w:p w14:paraId="2C060602" w14:textId="62B4693B" w:rsidR="0007359D" w:rsidRPr="0007359D" w:rsidRDefault="0007359D" w:rsidP="0007359D">
            <w:pPr>
              <w:pStyle w:val="ListParagraph"/>
              <w:numPr>
                <w:ilvl w:val="1"/>
                <w:numId w:val="30"/>
              </w:numPr>
              <w:spacing w:after="180" w:line="252" w:lineRule="auto"/>
              <w:contextualSpacing w:val="0"/>
              <w:rPr>
                <w:b/>
                <w:bCs/>
                <w:sz w:val="16"/>
                <w:szCs w:val="18"/>
                <w:lang w:eastAsia="zh-CN"/>
              </w:rPr>
            </w:pPr>
            <w:r w:rsidRPr="0007359D">
              <w:rPr>
                <w:b/>
                <w:bCs/>
                <w:sz w:val="16"/>
                <w:szCs w:val="18"/>
                <w:lang w:eastAsia="zh-CN"/>
              </w:rPr>
              <w:t>FFS: deployment assumption at the exit/entrance of the tunnel</w:t>
            </w:r>
          </w:p>
          <w:p w14:paraId="15EC6CF1" w14:textId="77777777" w:rsidR="0007359D" w:rsidRPr="0007359D" w:rsidRDefault="0007359D" w:rsidP="0007359D">
            <w:pPr>
              <w:spacing w:line="252" w:lineRule="auto"/>
              <w:rPr>
                <w:sz w:val="16"/>
                <w:szCs w:val="18"/>
                <w:lang w:val="en-GB"/>
              </w:rPr>
            </w:pPr>
          </w:p>
          <w:p w14:paraId="7C5FBFA1" w14:textId="6EB6048D" w:rsidR="00510E02" w:rsidRPr="0007359D" w:rsidRDefault="00510E02" w:rsidP="00510E02">
            <w:pPr>
              <w:pStyle w:val="ListParagraph"/>
              <w:numPr>
                <w:ilvl w:val="0"/>
                <w:numId w:val="45"/>
              </w:numPr>
              <w:spacing w:after="120" w:line="252" w:lineRule="auto"/>
              <w:ind w:left="312" w:hanging="357"/>
              <w:rPr>
                <w:b/>
                <w:bCs/>
                <w:sz w:val="16"/>
                <w:szCs w:val="18"/>
                <w:lang w:val="en-GB"/>
              </w:rPr>
            </w:pPr>
            <w:r w:rsidRPr="0007359D">
              <w:rPr>
                <w:b/>
                <w:bCs/>
                <w:sz w:val="16"/>
                <w:szCs w:val="18"/>
                <w:lang w:val="en-GB"/>
              </w:rPr>
              <w:t>Channel model</w:t>
            </w:r>
          </w:p>
          <w:p w14:paraId="00477A7B" w14:textId="77777777" w:rsidR="00510E02" w:rsidRPr="0007359D" w:rsidRDefault="00510E02">
            <w:pPr>
              <w:spacing w:line="252" w:lineRule="auto"/>
              <w:contextualSpacing/>
              <w:rPr>
                <w:b/>
                <w:bCs/>
                <w:sz w:val="16"/>
                <w:szCs w:val="18"/>
              </w:rPr>
            </w:pPr>
            <w:r w:rsidRPr="0007359D">
              <w:rPr>
                <w:b/>
                <w:bCs/>
                <w:sz w:val="16"/>
                <w:szCs w:val="18"/>
              </w:rPr>
              <w:t>Agreement:</w:t>
            </w:r>
          </w:p>
          <w:p w14:paraId="51325EE1" w14:textId="2A1C1D10" w:rsidR="00510E02" w:rsidRPr="0007359D" w:rsidRDefault="00510E02" w:rsidP="00510E02">
            <w:pPr>
              <w:numPr>
                <w:ilvl w:val="0"/>
                <w:numId w:val="47"/>
              </w:numPr>
              <w:spacing w:line="252" w:lineRule="auto"/>
              <w:rPr>
                <w:sz w:val="16"/>
                <w:szCs w:val="18"/>
              </w:rPr>
            </w:pPr>
            <w:r w:rsidRPr="0007359D">
              <w:rPr>
                <w:sz w:val="16"/>
                <w:szCs w:val="18"/>
              </w:rPr>
              <w:t xml:space="preserve">Only consider </w:t>
            </w:r>
            <w:proofErr w:type="spellStart"/>
            <w:r w:rsidRPr="0007359D">
              <w:rPr>
                <w:sz w:val="16"/>
                <w:szCs w:val="18"/>
              </w:rPr>
              <w:t>LoS</w:t>
            </w:r>
            <w:proofErr w:type="spellEnd"/>
            <w:r w:rsidRPr="0007359D">
              <w:rPr>
                <w:sz w:val="16"/>
                <w:szCs w:val="18"/>
              </w:rPr>
              <w:t xml:space="preserve"> propagation conditions</w:t>
            </w:r>
          </w:p>
          <w:p w14:paraId="1393BB8B" w14:textId="258E76F9" w:rsidR="0007359D" w:rsidRPr="0007359D" w:rsidRDefault="0007359D" w:rsidP="0007359D">
            <w:pPr>
              <w:spacing w:line="252" w:lineRule="auto"/>
              <w:rPr>
                <w:sz w:val="16"/>
                <w:szCs w:val="18"/>
              </w:rPr>
            </w:pPr>
          </w:p>
          <w:p w14:paraId="65770020" w14:textId="77777777" w:rsidR="0007359D" w:rsidRPr="0007359D" w:rsidRDefault="0007359D" w:rsidP="0007359D">
            <w:pPr>
              <w:spacing w:line="252" w:lineRule="auto"/>
              <w:rPr>
                <w:sz w:val="16"/>
                <w:szCs w:val="18"/>
              </w:rPr>
            </w:pPr>
          </w:p>
          <w:p w14:paraId="146EBF4D" w14:textId="77777777" w:rsidR="00510E02" w:rsidRPr="0007359D" w:rsidRDefault="00510E02" w:rsidP="00510E02">
            <w:pPr>
              <w:pStyle w:val="ListParagraph"/>
              <w:numPr>
                <w:ilvl w:val="0"/>
                <w:numId w:val="45"/>
              </w:numPr>
              <w:spacing w:after="120" w:line="252" w:lineRule="auto"/>
              <w:ind w:left="312" w:hanging="357"/>
              <w:rPr>
                <w:b/>
                <w:bCs/>
                <w:sz w:val="16"/>
                <w:szCs w:val="18"/>
                <w:lang w:val="en-GB"/>
              </w:rPr>
            </w:pPr>
            <w:r w:rsidRPr="0007359D">
              <w:rPr>
                <w:b/>
                <w:bCs/>
                <w:sz w:val="16"/>
                <w:szCs w:val="18"/>
                <w:lang w:val="en-GB"/>
              </w:rPr>
              <w:t>Mobility issue</w:t>
            </w:r>
          </w:p>
          <w:p w14:paraId="77AD9B80" w14:textId="77777777" w:rsidR="00510E02" w:rsidRPr="0007359D" w:rsidRDefault="00510E02">
            <w:pPr>
              <w:spacing w:line="252" w:lineRule="auto"/>
              <w:contextualSpacing/>
              <w:rPr>
                <w:b/>
                <w:bCs/>
                <w:sz w:val="16"/>
                <w:szCs w:val="18"/>
              </w:rPr>
            </w:pPr>
            <w:r w:rsidRPr="0007359D">
              <w:rPr>
                <w:b/>
                <w:bCs/>
                <w:sz w:val="16"/>
                <w:szCs w:val="18"/>
              </w:rPr>
              <w:t>Agreement:</w:t>
            </w:r>
          </w:p>
          <w:p w14:paraId="4F7F4F2F" w14:textId="77777777" w:rsidR="00510E02" w:rsidRPr="0007359D" w:rsidRDefault="00510E02" w:rsidP="00510E02">
            <w:pPr>
              <w:numPr>
                <w:ilvl w:val="0"/>
                <w:numId w:val="48"/>
              </w:numPr>
              <w:spacing w:line="252" w:lineRule="auto"/>
              <w:rPr>
                <w:sz w:val="16"/>
                <w:szCs w:val="18"/>
              </w:rPr>
            </w:pPr>
            <w:r w:rsidRPr="0007359D">
              <w:rPr>
                <w:sz w:val="16"/>
                <w:szCs w:val="18"/>
              </w:rPr>
              <w:t>Mobility issue at HO/beam switch when CPE is travelling in the direction opposite to the serving beam is observed due to the sharp drop of the signal strength at the edge of the beam next to the RRH.</w:t>
            </w:r>
          </w:p>
          <w:p w14:paraId="620DA6E6" w14:textId="77777777" w:rsidR="0007359D" w:rsidRPr="0007359D" w:rsidRDefault="0007359D" w:rsidP="0007359D">
            <w:pPr>
              <w:rPr>
                <w:b/>
                <w:bCs/>
                <w:sz w:val="16"/>
                <w:szCs w:val="18"/>
                <w:lang w:eastAsia="zh-CN"/>
              </w:rPr>
            </w:pPr>
            <w:r w:rsidRPr="0007359D">
              <w:rPr>
                <w:b/>
                <w:bCs/>
                <w:sz w:val="16"/>
                <w:szCs w:val="18"/>
                <w:lang w:eastAsia="zh-CN"/>
              </w:rPr>
              <w:t>Way forward:</w:t>
            </w:r>
          </w:p>
          <w:p w14:paraId="40C8A3D1" w14:textId="77777777" w:rsidR="0007359D" w:rsidRPr="0007359D" w:rsidRDefault="0007359D" w:rsidP="0007359D">
            <w:pPr>
              <w:pStyle w:val="ListParagraph"/>
              <w:numPr>
                <w:ilvl w:val="0"/>
                <w:numId w:val="30"/>
              </w:numPr>
              <w:spacing w:after="180"/>
              <w:contextualSpacing w:val="0"/>
              <w:rPr>
                <w:sz w:val="16"/>
                <w:szCs w:val="18"/>
              </w:rPr>
            </w:pPr>
            <w:r w:rsidRPr="0007359D">
              <w:rPr>
                <w:sz w:val="16"/>
                <w:szCs w:val="18"/>
              </w:rPr>
              <w:t>Consider possible solutions to the mobility issue:</w:t>
            </w:r>
          </w:p>
          <w:p w14:paraId="6C414FBB" w14:textId="77777777" w:rsidR="0007359D" w:rsidRPr="0007359D" w:rsidRDefault="0007359D" w:rsidP="0007359D">
            <w:pPr>
              <w:pStyle w:val="ListParagraph"/>
              <w:numPr>
                <w:ilvl w:val="1"/>
                <w:numId w:val="30"/>
              </w:numPr>
              <w:spacing w:after="180"/>
              <w:contextualSpacing w:val="0"/>
              <w:rPr>
                <w:sz w:val="16"/>
                <w:szCs w:val="18"/>
              </w:rPr>
            </w:pPr>
            <w:r w:rsidRPr="0007359D">
              <w:rPr>
                <w:sz w:val="16"/>
                <w:szCs w:val="18"/>
              </w:rPr>
              <w:t>Option 2: Solutions that allow network to trigger early handover</w:t>
            </w:r>
          </w:p>
          <w:p w14:paraId="209CABBA" w14:textId="77777777" w:rsidR="0007359D" w:rsidRPr="0022571B" w:rsidRDefault="0007359D" w:rsidP="0007359D">
            <w:pPr>
              <w:pStyle w:val="ListParagraph"/>
              <w:numPr>
                <w:ilvl w:val="2"/>
                <w:numId w:val="30"/>
              </w:numPr>
              <w:spacing w:after="180"/>
              <w:contextualSpacing w:val="0"/>
              <w:rPr>
                <w:b/>
                <w:bCs/>
                <w:sz w:val="16"/>
                <w:szCs w:val="18"/>
              </w:rPr>
            </w:pPr>
            <w:r w:rsidRPr="0022571B">
              <w:rPr>
                <w:b/>
                <w:bCs/>
                <w:sz w:val="16"/>
                <w:szCs w:val="18"/>
              </w:rPr>
              <w:t>Option 2a: Enabling CHO with special settings next to the RRH</w:t>
            </w:r>
          </w:p>
          <w:p w14:paraId="3574BC89" w14:textId="77777777" w:rsidR="0007359D" w:rsidRPr="0007359D" w:rsidRDefault="0007359D" w:rsidP="0007359D">
            <w:pPr>
              <w:pStyle w:val="ListParagraph"/>
              <w:numPr>
                <w:ilvl w:val="1"/>
                <w:numId w:val="30"/>
              </w:numPr>
              <w:spacing w:after="180"/>
              <w:contextualSpacing w:val="0"/>
              <w:rPr>
                <w:sz w:val="16"/>
                <w:szCs w:val="18"/>
              </w:rPr>
            </w:pPr>
            <w:r w:rsidRPr="0007359D">
              <w:rPr>
                <w:sz w:val="16"/>
                <w:szCs w:val="18"/>
              </w:rPr>
              <w:t>Option 3: Method in which UE initiates TCI state switch as advanced capability</w:t>
            </w:r>
          </w:p>
          <w:p w14:paraId="5A71B5ED" w14:textId="77777777" w:rsidR="0007359D" w:rsidRPr="0007359D" w:rsidRDefault="0007359D" w:rsidP="0007359D">
            <w:pPr>
              <w:pStyle w:val="ListParagraph"/>
              <w:numPr>
                <w:ilvl w:val="1"/>
                <w:numId w:val="30"/>
              </w:numPr>
              <w:spacing w:after="180"/>
              <w:contextualSpacing w:val="0"/>
              <w:rPr>
                <w:sz w:val="16"/>
                <w:szCs w:val="18"/>
              </w:rPr>
            </w:pPr>
            <w:r w:rsidRPr="0007359D">
              <w:rPr>
                <w:sz w:val="16"/>
                <w:szCs w:val="18"/>
              </w:rPr>
              <w:t>Option 4: Define the beam allocation regions</w:t>
            </w:r>
          </w:p>
          <w:p w14:paraId="575D1CFD" w14:textId="77777777" w:rsidR="0007359D" w:rsidRPr="0007359D" w:rsidRDefault="0007359D" w:rsidP="0007359D">
            <w:pPr>
              <w:pStyle w:val="ListParagraph"/>
              <w:numPr>
                <w:ilvl w:val="1"/>
                <w:numId w:val="30"/>
              </w:numPr>
              <w:spacing w:after="180"/>
              <w:contextualSpacing w:val="0"/>
              <w:rPr>
                <w:sz w:val="16"/>
                <w:szCs w:val="18"/>
              </w:rPr>
            </w:pPr>
            <w:r w:rsidRPr="0007359D">
              <w:rPr>
                <w:sz w:val="16"/>
                <w:szCs w:val="18"/>
              </w:rPr>
              <w:t xml:space="preserve">Option 5: </w:t>
            </w:r>
            <w:r w:rsidRPr="0007359D">
              <w:rPr>
                <w:sz w:val="16"/>
                <w:szCs w:val="18"/>
                <w:lang w:eastAsia="zh-CN"/>
              </w:rPr>
              <w:t>No need to introduce new mechanism for mobility issue when the train is travelling opposite to the serving beam orientation</w:t>
            </w:r>
          </w:p>
          <w:p w14:paraId="5A3375FC" w14:textId="2A2DF239" w:rsidR="0007359D" w:rsidRPr="0007359D" w:rsidRDefault="0007359D" w:rsidP="0007359D">
            <w:pPr>
              <w:spacing w:line="252" w:lineRule="auto"/>
              <w:rPr>
                <w:sz w:val="16"/>
                <w:szCs w:val="18"/>
              </w:rPr>
            </w:pPr>
            <w:r w:rsidRPr="0007359D">
              <w:rPr>
                <w:sz w:val="16"/>
                <w:szCs w:val="18"/>
              </w:rPr>
              <w:t>Other options are not precluded</w:t>
            </w:r>
          </w:p>
        </w:tc>
      </w:tr>
    </w:tbl>
    <w:p w14:paraId="1F9579CC" w14:textId="77777777" w:rsidR="008B0FFF" w:rsidRPr="008B0FFF" w:rsidRDefault="008B0FFF" w:rsidP="005C23A4">
      <w:pPr>
        <w:rPr>
          <w:lang w:val="en-GB"/>
        </w:rPr>
      </w:pPr>
    </w:p>
    <w:p w14:paraId="77A67DC3" w14:textId="78384673" w:rsidR="00282B24" w:rsidRDefault="002467DA" w:rsidP="005C23A4">
      <w:r>
        <w:t>In this paper, we provide</w:t>
      </w:r>
      <w:r w:rsidR="00510E02">
        <w:t xml:space="preserve"> system level simulation </w:t>
      </w:r>
      <w:r w:rsidR="009420E8">
        <w:t>results</w:t>
      </w:r>
      <w:r w:rsidR="0022571B">
        <w:t xml:space="preserve"> </w:t>
      </w:r>
      <w:r w:rsidR="00847465">
        <w:t>for some scenarios in the</w:t>
      </w:r>
      <w:r w:rsidR="0022571B">
        <w:t xml:space="preserve"> tunnel deployment</w:t>
      </w:r>
      <w:r w:rsidR="009420E8">
        <w:t xml:space="preserve"> to support our analysis in the accompanying paper </w:t>
      </w:r>
      <w:r w:rsidR="00EB7DC0">
        <w:fldChar w:fldCharType="begin"/>
      </w:r>
      <w:r w:rsidR="00EB7DC0">
        <w:instrText xml:space="preserve"> REF _Ref131597010 \r \h </w:instrText>
      </w:r>
      <w:r w:rsidR="00EB7DC0">
        <w:fldChar w:fldCharType="separate"/>
      </w:r>
      <w:r w:rsidR="0087209C">
        <w:t>[3]</w:t>
      </w:r>
      <w:r w:rsidR="00EB7DC0">
        <w:fldChar w:fldCharType="end"/>
      </w:r>
      <w:r w:rsidR="00EB7DC0">
        <w:t>, which focus on demonstrating</w:t>
      </w:r>
      <w:r w:rsidR="00561C87">
        <w:t>:</w:t>
      </w:r>
    </w:p>
    <w:p w14:paraId="6192A7CC" w14:textId="2B06C452" w:rsidR="00EB7DC0" w:rsidRDefault="00847465" w:rsidP="00EB7DC0">
      <w:pPr>
        <w:pStyle w:val="ListParagraph"/>
        <w:numPr>
          <w:ilvl w:val="0"/>
          <w:numId w:val="50"/>
        </w:numPr>
      </w:pPr>
      <w:r>
        <w:lastRenderedPageBreak/>
        <w:t>p</w:t>
      </w:r>
      <w:r w:rsidR="00EB7DC0">
        <w:t>otential mobility issues at the tunnel entrance/exit.</w:t>
      </w:r>
    </w:p>
    <w:p w14:paraId="14B8CCFE" w14:textId="69ACF8C9" w:rsidR="00EB7DC0" w:rsidRDefault="00847465" w:rsidP="00EB7DC0">
      <w:pPr>
        <w:pStyle w:val="ListParagraph"/>
        <w:numPr>
          <w:ilvl w:val="0"/>
          <w:numId w:val="50"/>
        </w:numPr>
      </w:pPr>
      <w:r>
        <w:t>m</w:t>
      </w:r>
      <w:r w:rsidR="00EB7DC0">
        <w:t>obility performance</w:t>
      </w:r>
      <w:r>
        <w:t>s</w:t>
      </w:r>
      <w:r w:rsidR="00EB7DC0">
        <w:t xml:space="preserve"> of bi-directional deployment with single-panel reception.</w:t>
      </w:r>
    </w:p>
    <w:p w14:paraId="57B5A06E" w14:textId="3829C4AE" w:rsidR="00EB7DC0" w:rsidRDefault="00847465" w:rsidP="00EB7DC0">
      <w:pPr>
        <w:pStyle w:val="ListParagraph"/>
        <w:numPr>
          <w:ilvl w:val="0"/>
          <w:numId w:val="50"/>
        </w:numPr>
      </w:pPr>
      <w:r>
        <w:t>m</w:t>
      </w:r>
      <w:r w:rsidR="00EB7DC0">
        <w:t>obility performance</w:t>
      </w:r>
      <w:r>
        <w:t>s</w:t>
      </w:r>
      <w:r w:rsidR="00EB7DC0">
        <w:t xml:space="preserve"> </w:t>
      </w:r>
      <w:r w:rsidR="0022571B">
        <w:t>with</w:t>
      </w:r>
      <w:r w:rsidR="00EB7DC0">
        <w:t xml:space="preserve"> CHO handover</w:t>
      </w:r>
      <w:r w:rsidR="0022571B">
        <w:t xml:space="preserve"> approach in </w:t>
      </w:r>
      <w:proofErr w:type="spellStart"/>
      <w:r w:rsidR="0022571B">
        <w:t>uni</w:t>
      </w:r>
      <w:proofErr w:type="spellEnd"/>
      <w:r w:rsidR="0022571B">
        <w:t xml:space="preserve">-direction scenario where </w:t>
      </w:r>
      <w:r w:rsidR="00744B84">
        <w:rPr>
          <w:lang w:val="en-150"/>
        </w:rPr>
        <w:t xml:space="preserve">the </w:t>
      </w:r>
      <w:r w:rsidR="0022571B">
        <w:t>beams</w:t>
      </w:r>
      <w:r w:rsidR="00744B84">
        <w:rPr>
          <w:lang w:val="en-150"/>
        </w:rPr>
        <w:t xml:space="preserve"> are</w:t>
      </w:r>
      <w:r w:rsidR="0022571B">
        <w:t xml:space="preserve"> pointing opposite to the train </w:t>
      </w:r>
      <w:r w:rsidR="00744B84">
        <w:rPr>
          <w:lang w:val="en-150"/>
        </w:rPr>
        <w:t>travelling</w:t>
      </w:r>
      <w:r w:rsidR="0022571B">
        <w:t xml:space="preserve"> direction.</w:t>
      </w:r>
    </w:p>
    <w:p w14:paraId="6EBC530B" w14:textId="77777777" w:rsidR="0004739B" w:rsidRDefault="0004739B" w:rsidP="005C23A4"/>
    <w:p w14:paraId="67EF343D" w14:textId="05A84795" w:rsidR="003B659E" w:rsidRDefault="003B659E" w:rsidP="00AE56B1">
      <w:pPr>
        <w:pStyle w:val="RAN4H1"/>
        <w:rPr>
          <w:lang w:val="en-US"/>
        </w:rPr>
      </w:pPr>
      <w:bookmarkStart w:id="6" w:name="_Toc116995842"/>
      <w:r w:rsidRPr="00EF698B">
        <w:rPr>
          <w:lang w:val="en-US"/>
        </w:rPr>
        <w:t>Discussion</w:t>
      </w:r>
      <w:bookmarkEnd w:id="6"/>
    </w:p>
    <w:p w14:paraId="23CED2E8" w14:textId="6B39D7C6" w:rsidR="00510E02" w:rsidRDefault="00B80FED" w:rsidP="00510E02">
      <w:pPr>
        <w:pStyle w:val="RAN4H2"/>
      </w:pPr>
      <w:r>
        <w:t>M</w:t>
      </w:r>
      <w:r w:rsidR="00510E02">
        <w:t xml:space="preserve">obility </w:t>
      </w:r>
      <w:r>
        <w:t xml:space="preserve">performances with </w:t>
      </w:r>
      <w:proofErr w:type="spellStart"/>
      <w:r>
        <w:t>NLoS</w:t>
      </w:r>
      <w:proofErr w:type="spellEnd"/>
      <w:r>
        <w:t xml:space="preserve"> condition at the tunnel</w:t>
      </w:r>
      <w:r w:rsidR="00510E02">
        <w:t xml:space="preserve"> entrance/exit</w:t>
      </w:r>
    </w:p>
    <w:p w14:paraId="471CAC91" w14:textId="18C4B6DA" w:rsidR="00FC3808" w:rsidRDefault="0022571B" w:rsidP="00441A5D">
      <w:r>
        <w:t xml:space="preserve">According to our analysis in </w:t>
      </w:r>
      <w:r w:rsidR="00CD4DA4">
        <w:fldChar w:fldCharType="begin"/>
      </w:r>
      <w:r w:rsidR="00CD4DA4">
        <w:instrText xml:space="preserve"> REF _Ref131597010 \r \h </w:instrText>
      </w:r>
      <w:r w:rsidR="00CD4DA4">
        <w:fldChar w:fldCharType="separate"/>
      </w:r>
      <w:r w:rsidR="0087209C">
        <w:t>[3]</w:t>
      </w:r>
      <w:r w:rsidR="00CD4DA4">
        <w:fldChar w:fldCharType="end"/>
      </w:r>
      <w:r w:rsidR="00561C87">
        <w:t xml:space="preserve">, the beam coverage of the open-space RRHs at the tunnel entrance/exit is limited as the beam </w:t>
      </w:r>
      <w:r w:rsidR="00201FBE">
        <w:t>can</w:t>
      </w:r>
      <w:r w:rsidR="00561C87">
        <w:t xml:space="preserve"> be blocked</w:t>
      </w:r>
      <w:r w:rsidR="00EA0AFD">
        <w:t xml:space="preserve"> by the tunnel’s outer wall</w:t>
      </w:r>
      <w:r w:rsidR="00561C87">
        <w:t xml:space="preserve">. </w:t>
      </w:r>
      <w:r w:rsidR="00CD4DA4">
        <w:t xml:space="preserve">This is expected to have impacts to mobility performance in </w:t>
      </w:r>
      <w:proofErr w:type="spellStart"/>
      <w:r w:rsidR="00CD4DA4">
        <w:t>uni</w:t>
      </w:r>
      <w:proofErr w:type="spellEnd"/>
      <w:r w:rsidR="00CD4DA4">
        <w:t>-directional deployment.</w:t>
      </w:r>
      <w:r w:rsidR="00EA0AFD">
        <w:t xml:space="preserve">  To understand possible impacts of this coverage issue, we have set up the following simulation t</w:t>
      </w:r>
      <w:r w:rsidR="00561C87">
        <w:t xml:space="preserve">o have an initial view on </w:t>
      </w:r>
      <w:r w:rsidR="00CD4DA4">
        <w:t>mobility performance</w:t>
      </w:r>
      <w:r w:rsidR="00EA0AFD">
        <w:t>s</w:t>
      </w:r>
      <w:r w:rsidR="00CD4DA4">
        <w:t xml:space="preserve"> </w:t>
      </w:r>
      <w:r w:rsidR="00EA0AFD">
        <w:t>in this scenario.</w:t>
      </w:r>
      <w:r w:rsidR="00561C87">
        <w:t xml:space="preserve"> </w:t>
      </w:r>
    </w:p>
    <w:p w14:paraId="15618708" w14:textId="2E6678A6" w:rsidR="00DE638A" w:rsidRPr="00351AEE" w:rsidRDefault="00CD4DA4" w:rsidP="00F46757">
      <w:r>
        <w:t>Uni-directional deployment is considered for the RRH outside the tunnel (RRH1 in Figure). Assume that the beam’s main lobe</w:t>
      </w:r>
      <w:r w:rsidR="00FC3808">
        <w:t xml:space="preserve"> from RRH1 is pointing to the entrance/exit of the tunnel. Depending on the tunnel’s dimension, the </w:t>
      </w:r>
      <w:proofErr w:type="spellStart"/>
      <w:r w:rsidR="00FC3808">
        <w:t>LoS</w:t>
      </w:r>
      <w:proofErr w:type="spellEnd"/>
      <w:r w:rsidR="00FC3808">
        <w:t xml:space="preserve"> paths can be seen up to </w:t>
      </w:r>
      <w:r w:rsidR="00FC3808" w:rsidRPr="00FC3808">
        <w:rPr>
          <w:b/>
          <w:bCs/>
        </w:rPr>
        <w:t>d</w:t>
      </w:r>
      <w:r w:rsidR="00FC3808">
        <w:rPr>
          <w:b/>
          <w:bCs/>
        </w:rPr>
        <w:t xml:space="preserve"> [</w:t>
      </w:r>
      <w:r w:rsidR="00FC3808">
        <w:t>m] inside the tunnel</w:t>
      </w:r>
      <w:r w:rsidR="00DE638A">
        <w:t xml:space="preserve">, meaning that </w:t>
      </w:r>
      <w:proofErr w:type="spellStart"/>
      <w:r w:rsidR="00DE638A">
        <w:t>NLoS</w:t>
      </w:r>
      <w:proofErr w:type="spellEnd"/>
      <w:r w:rsidR="00EA0AFD">
        <w:t>-only</w:t>
      </w:r>
      <w:r w:rsidR="00DE638A">
        <w:t xml:space="preserve"> condition</w:t>
      </w:r>
      <w:r w:rsidR="00EA0AFD">
        <w:t xml:space="preserve"> will</w:t>
      </w:r>
      <w:r w:rsidR="00DE638A">
        <w:t xml:space="preserve"> exist after distance </w:t>
      </w:r>
      <w:r w:rsidR="00DE638A">
        <w:rPr>
          <w:b/>
          <w:bCs/>
        </w:rPr>
        <w:t>d</w:t>
      </w:r>
      <w:r w:rsidR="00DE638A">
        <w:t>. Assume that the tunnel dimension is 6m of width</w:t>
      </w:r>
      <w:r w:rsidR="00EA0AFD">
        <w:t xml:space="preserve"> (w)</w:t>
      </w:r>
      <w:r w:rsidR="00DE638A">
        <w:t xml:space="preserve"> and 5.5m of height</w:t>
      </w:r>
      <w:r w:rsidR="00EA0AFD">
        <w:t xml:space="preserve"> (</w:t>
      </w:r>
      <w:proofErr w:type="spellStart"/>
      <w:r w:rsidR="00EA0AFD">
        <w:t>D</w:t>
      </w:r>
      <w:r w:rsidR="00EA0AFD" w:rsidRPr="00EA0AFD">
        <w:rPr>
          <w:vertAlign w:val="subscript"/>
        </w:rPr>
        <w:t>Tunnel,height</w:t>
      </w:r>
      <w:proofErr w:type="spellEnd"/>
      <w:r w:rsidR="00EA0AFD">
        <w:t>)</w:t>
      </w:r>
      <w:r w:rsidR="00DE638A">
        <w:t>.</w:t>
      </w:r>
      <w:r w:rsidR="00FC3808">
        <w:t xml:space="preserve"> According to the estimation in </w:t>
      </w:r>
      <w:r w:rsidR="00EA0AFD">
        <w:fldChar w:fldCharType="begin"/>
      </w:r>
      <w:r w:rsidR="00EA0AFD">
        <w:instrText xml:space="preserve"> REF _Ref131597010 \r \h </w:instrText>
      </w:r>
      <w:r w:rsidR="00EA0AFD">
        <w:fldChar w:fldCharType="separate"/>
      </w:r>
      <w:r w:rsidR="0087209C">
        <w:t>[3]</w:t>
      </w:r>
      <w:r w:rsidR="00EA0AFD">
        <w:fldChar w:fldCharType="end"/>
      </w:r>
      <w:r w:rsidR="00EA0AFD">
        <w:t xml:space="preserve">, </w:t>
      </w:r>
      <w:r w:rsidR="00FC3808">
        <w:t xml:space="preserve">d </w:t>
      </w:r>
      <w:r w:rsidR="00FC3808">
        <w:rPr>
          <w:szCs w:val="20"/>
        </w:rPr>
        <w:t>is</w:t>
      </w:r>
      <w:r w:rsidR="00FC3808" w:rsidRPr="00813FB1">
        <w:rPr>
          <w:szCs w:val="20"/>
        </w:rPr>
        <w:t xml:space="preserve"> 300m </w:t>
      </w:r>
      <w:r w:rsidR="00FC3808">
        <w:rPr>
          <w:szCs w:val="20"/>
        </w:rPr>
        <w:t xml:space="preserve">(vertical direction) </w:t>
      </w:r>
      <w:r w:rsidR="00FC3808" w:rsidRPr="00813FB1">
        <w:rPr>
          <w:szCs w:val="20"/>
        </w:rPr>
        <w:t xml:space="preserve">and </w:t>
      </w:r>
      <w:r w:rsidR="00FC3808">
        <w:rPr>
          <w:szCs w:val="20"/>
        </w:rPr>
        <w:t>22.1</w:t>
      </w:r>
      <w:r w:rsidR="00FC3808" w:rsidRPr="00813FB1">
        <w:rPr>
          <w:szCs w:val="20"/>
        </w:rPr>
        <w:t>m</w:t>
      </w:r>
      <w:r w:rsidR="00FC3808">
        <w:rPr>
          <w:szCs w:val="20"/>
        </w:rPr>
        <w:t xml:space="preserve"> (horizontal direction)</w:t>
      </w:r>
      <w:r w:rsidR="00FC3808" w:rsidRPr="00813FB1">
        <w:rPr>
          <w:szCs w:val="20"/>
        </w:rPr>
        <w:t xml:space="preserve"> for Scenario A, and 14</w:t>
      </w:r>
      <w:r w:rsidR="00FC3808">
        <w:rPr>
          <w:szCs w:val="20"/>
        </w:rPr>
        <w:t>.3</w:t>
      </w:r>
      <w:r w:rsidR="00FC3808" w:rsidRPr="00813FB1">
        <w:rPr>
          <w:szCs w:val="20"/>
        </w:rPr>
        <w:t>m</w:t>
      </w:r>
      <w:r w:rsidR="00FC3808">
        <w:rPr>
          <w:szCs w:val="20"/>
        </w:rPr>
        <w:t xml:space="preserve"> (vertical direction</w:t>
      </w:r>
      <w:r w:rsidR="00DE638A">
        <w:rPr>
          <w:szCs w:val="20"/>
        </w:rPr>
        <w:t>) and</w:t>
      </w:r>
      <w:r w:rsidR="00FC3808" w:rsidRPr="00813FB1">
        <w:rPr>
          <w:szCs w:val="20"/>
        </w:rPr>
        <w:t xml:space="preserve"> 22.6m </w:t>
      </w:r>
      <w:r w:rsidR="00FC3808">
        <w:rPr>
          <w:szCs w:val="20"/>
        </w:rPr>
        <w:t>(horizontal direction)</w:t>
      </w:r>
      <w:r w:rsidR="00FC3808" w:rsidRPr="00813FB1">
        <w:rPr>
          <w:szCs w:val="20"/>
        </w:rPr>
        <w:t xml:space="preserve"> for Scenario B, respectively</w:t>
      </w:r>
      <w:r w:rsidR="00DE638A">
        <w:rPr>
          <w:szCs w:val="20"/>
        </w:rPr>
        <w:t xml:space="preserve">. </w:t>
      </w:r>
    </w:p>
    <w:bookmarkStart w:id="7" w:name="_Hlk131196074"/>
    <w:p w14:paraId="71E95EC5" w14:textId="15C80FA2" w:rsidR="00441A5D" w:rsidRDefault="00CD4DA4" w:rsidP="00CD4DA4">
      <w:pPr>
        <w:jc w:val="center"/>
      </w:pPr>
      <w:r>
        <w:object w:dxaOrig="5470" w:dyaOrig="1900" w14:anchorId="25899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15pt;height:93.45pt" o:ole="">
            <v:imagedata r:id="rId13" o:title=""/>
          </v:shape>
          <o:OLEObject Type="Embed" ProgID="Visio.Drawing.15" ShapeID="_x0000_i1025" DrawAspect="Content" ObjectID="_1742636175" r:id="rId14"/>
        </w:object>
      </w:r>
      <w:bookmarkEnd w:id="7"/>
      <w:r>
        <w:object w:dxaOrig="5780" w:dyaOrig="2251" w14:anchorId="60B3BEC2">
          <v:shape id="_x0000_i1026" type="#_x0000_t75" style="width:260.55pt;height:101.15pt" o:ole="">
            <v:imagedata r:id="rId15" o:title=""/>
          </v:shape>
          <o:OLEObject Type="Embed" ProgID="Visio.Drawing.15" ShapeID="_x0000_i1026" DrawAspect="Content" ObjectID="_1742636176" r:id="rId16"/>
        </w:object>
      </w:r>
    </w:p>
    <w:p w14:paraId="370C78B8" w14:textId="556DF2E9" w:rsidR="00DE638A" w:rsidRDefault="00DE638A" w:rsidP="00DE638A">
      <w:pPr>
        <w:pStyle w:val="Caption"/>
      </w:pPr>
      <w:bookmarkStart w:id="8" w:name="_Ref131602572"/>
      <w:r>
        <w:t xml:space="preserve">Figure </w:t>
      </w:r>
      <w:r w:rsidR="00F06485">
        <w:fldChar w:fldCharType="begin"/>
      </w:r>
      <w:r w:rsidR="00F06485">
        <w:instrText xml:space="preserve"> SEQ Figure \* ARABIC </w:instrText>
      </w:r>
      <w:r w:rsidR="00F06485">
        <w:fldChar w:fldCharType="separate"/>
      </w:r>
      <w:r w:rsidR="0087209C">
        <w:rPr>
          <w:noProof/>
        </w:rPr>
        <w:t>1</w:t>
      </w:r>
      <w:r w:rsidR="00F06485">
        <w:rPr>
          <w:noProof/>
        </w:rPr>
        <w:fldChar w:fldCharType="end"/>
      </w:r>
      <w:bookmarkEnd w:id="8"/>
      <w:r>
        <w:t>: Example of coverage at the tunnel entrance/exit: (top) from the top view; (bottom) from the side view.</w:t>
      </w:r>
    </w:p>
    <w:p w14:paraId="0A34A747" w14:textId="3311B1A7" w:rsidR="00F46757" w:rsidRDefault="00F46757" w:rsidP="00F46757">
      <w:r>
        <w:rPr>
          <w:szCs w:val="20"/>
        </w:rPr>
        <w:t>In the simulation, we assume that d=300m for Scenario A and d=22.6m for Scenario in order to look into the best possible case</w:t>
      </w:r>
      <w:r w:rsidR="00EA0AFD">
        <w:rPr>
          <w:szCs w:val="20"/>
        </w:rPr>
        <w:t>s</w:t>
      </w:r>
      <w:r>
        <w:rPr>
          <w:szCs w:val="20"/>
        </w:rPr>
        <w:t xml:space="preserve">. To enable the </w:t>
      </w:r>
      <w:proofErr w:type="spellStart"/>
      <w:r>
        <w:rPr>
          <w:szCs w:val="20"/>
        </w:rPr>
        <w:t>NLoS</w:t>
      </w:r>
      <w:proofErr w:type="spellEnd"/>
      <w:r>
        <w:rPr>
          <w:szCs w:val="20"/>
        </w:rPr>
        <w:t xml:space="preserve"> condition, we configure the</w:t>
      </w:r>
      <w:r>
        <w:t xml:space="preserve"> probability of </w:t>
      </w:r>
      <w:proofErr w:type="spellStart"/>
      <w:r>
        <w:t>LoS</w:t>
      </w:r>
      <w:proofErr w:type="spellEnd"/>
      <w:r>
        <w:t xml:space="preserve"> defined in </w:t>
      </w:r>
      <w:r>
        <w:fldChar w:fldCharType="begin"/>
      </w:r>
      <w:r>
        <w:instrText xml:space="preserve"> REF _Ref115391303 \r \h </w:instrText>
      </w:r>
      <w:r>
        <w:fldChar w:fldCharType="separate"/>
      </w:r>
      <w:r w:rsidR="0087209C">
        <w:t>[5]</w:t>
      </w:r>
      <w:r>
        <w:fldChar w:fldCharType="end"/>
      </w:r>
      <w:r>
        <w:t xml:space="preserve"> as</w:t>
      </w:r>
    </w:p>
    <w:p w14:paraId="2101FC80" w14:textId="77777777" w:rsidR="00F46757" w:rsidRPr="00351AEE" w:rsidRDefault="00F06485" w:rsidP="00F46757">
      <m:oMathPara>
        <m:oMath>
          <m:sSub>
            <m:sSubPr>
              <m:ctrlPr>
                <w:rPr>
                  <w:rFonts w:ascii="Cambria Math" w:hAnsi="Cambria Math"/>
                  <w:i/>
                </w:rPr>
              </m:ctrlPr>
            </m:sSubPr>
            <m:e>
              <m:r>
                <w:rPr>
                  <w:rFonts w:ascii="Cambria Math" w:hAnsi="Cambria Math"/>
                </w:rPr>
                <m:t>Pr</m:t>
              </m:r>
            </m:e>
            <m:sub>
              <m:r>
                <w:rPr>
                  <w:rFonts w:ascii="Cambria Math" w:hAnsi="Cambria Math"/>
                </w:rPr>
                <m:t>LoS</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 xml:space="preserve">1,       </m:t>
                  </m:r>
                  <m:sSub>
                    <m:sSubPr>
                      <m:ctrlPr>
                        <w:rPr>
                          <w:rFonts w:ascii="Cambria Math" w:hAnsi="Cambria Math"/>
                          <w:i/>
                        </w:rPr>
                      </m:ctrlPr>
                    </m:sSubPr>
                    <m:e>
                      <m:r>
                        <w:rPr>
                          <w:rFonts w:ascii="Cambria Math" w:hAnsi="Cambria Math"/>
                        </w:rPr>
                        <m:t>d</m:t>
                      </m:r>
                    </m:e>
                    <m:sub>
                      <m:r>
                        <w:rPr>
                          <w:rFonts w:ascii="Cambria Math" w:hAnsi="Cambria Math"/>
                        </w:rPr>
                        <m:t>2</m:t>
                      </m:r>
                      <m:r>
                        <w:rPr>
                          <w:rFonts w:ascii="Cambria Math" w:hAnsi="Cambria Math"/>
                        </w:rPr>
                        <m:t>D</m:t>
                      </m:r>
                    </m:sub>
                  </m:sSub>
                  <m:r>
                    <m:rPr>
                      <m:nor/>
                    </m:rPr>
                    <w:rPr>
                      <w:rFonts w:ascii="Cambria Math" w:hAnsi="Cambria Math"/>
                    </w:rPr>
                    <m:t xml:space="preserve"> ≤ </m:t>
                  </m:r>
                  <m:r>
                    <w:rPr>
                      <w:rFonts w:ascii="Cambria Math" w:hAnsi="Cambria Math"/>
                    </w:rPr>
                    <m:t>700+</m:t>
                  </m:r>
                  <m:r>
                    <w:rPr>
                      <w:rFonts w:ascii="Cambria Math" w:hAnsi="Cambria Math"/>
                    </w:rPr>
                    <m:t>d</m:t>
                  </m:r>
                </m:e>
                <m:e>
                  <m:r>
                    <w:rPr>
                      <w:rFonts w:ascii="Cambria Math" w:hAnsi="Cambria Math"/>
                    </w:rPr>
                    <m:t xml:space="preserve">0,       </m:t>
                  </m:r>
                  <m:sSub>
                    <m:sSubPr>
                      <m:ctrlPr>
                        <w:rPr>
                          <w:rFonts w:ascii="Cambria Math" w:hAnsi="Cambria Math"/>
                          <w:i/>
                        </w:rPr>
                      </m:ctrlPr>
                    </m:sSubPr>
                    <m:e>
                      <m:r>
                        <w:rPr>
                          <w:rFonts w:ascii="Cambria Math" w:hAnsi="Cambria Math"/>
                        </w:rPr>
                        <m:t>d</m:t>
                      </m:r>
                    </m:e>
                    <m:sub>
                      <m:r>
                        <w:rPr>
                          <w:rFonts w:ascii="Cambria Math" w:hAnsi="Cambria Math"/>
                        </w:rPr>
                        <m:t>2</m:t>
                      </m:r>
                      <m:r>
                        <w:rPr>
                          <w:rFonts w:ascii="Cambria Math" w:hAnsi="Cambria Math"/>
                        </w:rPr>
                        <m:t>D</m:t>
                      </m:r>
                    </m:sub>
                  </m:sSub>
                  <m:r>
                    <w:rPr>
                      <w:rFonts w:ascii="Cambria Math" w:hAnsi="Cambria Math"/>
                    </w:rPr>
                    <m:t>&gt;700+</m:t>
                  </m:r>
                  <m:r>
                    <w:rPr>
                      <w:rFonts w:ascii="Cambria Math" w:hAnsi="Cambria Math"/>
                    </w:rPr>
                    <m:t>d</m:t>
                  </m:r>
                </m:e>
              </m:eqArr>
            </m:e>
          </m:d>
        </m:oMath>
      </m:oMathPara>
    </w:p>
    <w:p w14:paraId="6E5A4540" w14:textId="4AD112A5" w:rsidR="00414AE3" w:rsidRDefault="00E343B8" w:rsidP="00E343B8">
      <w:r>
        <w:t>Only non-DPS scheme (HO-based) is consider</w:t>
      </w:r>
      <w:r w:rsidR="00F46757">
        <w:t>ed</w:t>
      </w:r>
      <w:r>
        <w:t xml:space="preserve"> as our assumption is that open-space RRHs belong to different cell than those in </w:t>
      </w:r>
      <w:r w:rsidR="00EA0AFD">
        <w:t xml:space="preserve">the </w:t>
      </w:r>
      <w:r>
        <w:t xml:space="preserve">tunnel. However, the results for DPS scheme are expected similar as the problem related to the coverage. </w:t>
      </w:r>
      <w:r w:rsidR="00414AE3">
        <w:t xml:space="preserve">Other RRM parameters for the simulation follow the enhanced setting </w:t>
      </w:r>
      <w:r w:rsidR="00414AE3" w:rsidRPr="006046EE">
        <w:t>settings in Table 6.3.4.1.2-1 and general settings in Table 6.3.8.1-1 from</w:t>
      </w:r>
      <w:r w:rsidR="00414AE3">
        <w:t xml:space="preserve"> </w:t>
      </w:r>
      <w:r w:rsidR="00414AE3">
        <w:fldChar w:fldCharType="begin"/>
      </w:r>
      <w:r w:rsidR="00414AE3">
        <w:instrText xml:space="preserve"> REF _Ref118752331 \r \h </w:instrText>
      </w:r>
      <w:r w:rsidR="00414AE3">
        <w:fldChar w:fldCharType="separate"/>
      </w:r>
      <w:r w:rsidR="0087209C">
        <w:t>[4]</w:t>
      </w:r>
      <w:r w:rsidR="00414AE3">
        <w:fldChar w:fldCharType="end"/>
      </w:r>
      <w:r w:rsidR="00414AE3">
        <w:t xml:space="preserve">.  </w:t>
      </w:r>
      <w:r w:rsidR="00414AE3" w:rsidRPr="006046EE">
        <w:t>Both train movement directions have been considered, “Same” meaning train traveling to the same direction as the RRH antennas and beams are pointing to</w:t>
      </w:r>
      <w:r w:rsidR="00414AE3">
        <w:t>,</w:t>
      </w:r>
      <w:r w:rsidR="00414AE3" w:rsidRPr="006046EE">
        <w:t xml:space="preserve"> and “</w:t>
      </w:r>
      <w:proofErr w:type="spellStart"/>
      <w:r w:rsidR="00414AE3" w:rsidRPr="006046EE">
        <w:t>Opp</w:t>
      </w:r>
      <w:proofErr w:type="spellEnd"/>
      <w:r w:rsidR="00414AE3" w:rsidRPr="006046EE">
        <w:t>” meaning train traveling to opposite direction from the RRH antenna and beam orientation</w:t>
      </w:r>
      <w:r w:rsidR="00414AE3">
        <w:t xml:space="preserve">. We show results without DRX (DRX 0) and with DRX cycles 40, 80 and 160 </w:t>
      </w:r>
      <w:proofErr w:type="spellStart"/>
      <w:r w:rsidR="00414AE3">
        <w:t>ms.</w:t>
      </w:r>
      <w:proofErr w:type="spellEnd"/>
    </w:p>
    <w:p w14:paraId="43CDEF73" w14:textId="356B1D9B" w:rsidR="00E343B8" w:rsidRDefault="00E343B8" w:rsidP="00E343B8">
      <w:r>
        <w:lastRenderedPageBreak/>
        <w:t>The mobility performances, i.e., time-of-outage and mobility failure rate are shown. For comparison, we also present the corresponding results for the solely open-space scenario, which have been reported in</w:t>
      </w:r>
      <w:r w:rsidR="00491276">
        <w:t xml:space="preserve"> Section 6.3.4.1</w:t>
      </w:r>
      <w:r>
        <w:t xml:space="preserve"> </w:t>
      </w:r>
      <w:r>
        <w:fldChar w:fldCharType="begin"/>
      </w:r>
      <w:r>
        <w:instrText xml:space="preserve"> REF _Ref118752331 \r \h </w:instrText>
      </w:r>
      <w:r>
        <w:fldChar w:fldCharType="separate"/>
      </w:r>
      <w:r w:rsidR="0087209C">
        <w:t>[4]</w:t>
      </w:r>
      <w:r>
        <w:fldChar w:fldCharType="end"/>
      </w:r>
      <w:r>
        <w:t xml:space="preserve">, side-by-side </w:t>
      </w:r>
      <w:r w:rsidR="00EA0AFD">
        <w:t>with</w:t>
      </w:r>
      <w:r>
        <w:t xml:space="preserve"> the new tunnel results (on the right side).</w:t>
      </w:r>
    </w:p>
    <w:p w14:paraId="695B8757" w14:textId="77777777" w:rsidR="00744B84" w:rsidRPr="00E343B8" w:rsidRDefault="00744B84" w:rsidP="00E343B8"/>
    <w:p w14:paraId="10574939" w14:textId="71892C82" w:rsidR="0007359D" w:rsidRDefault="0007359D" w:rsidP="0007359D">
      <w:pPr>
        <w:pStyle w:val="RAN4H3"/>
      </w:pPr>
      <w:r>
        <w:t>Transition from</w:t>
      </w:r>
      <w:r w:rsidR="00744B84">
        <w:rPr>
          <w:lang w:val="en-150"/>
        </w:rPr>
        <w:t xml:space="preserve"> open-space</w:t>
      </w:r>
      <w:r>
        <w:t xml:space="preserve"> Scenario</w:t>
      </w:r>
      <w:r w:rsidR="00744B84">
        <w:rPr>
          <w:lang w:val="en-150"/>
        </w:rPr>
        <w:t>-</w:t>
      </w:r>
      <w:r>
        <w:t>A to</w:t>
      </w:r>
      <w:r w:rsidR="00744B84">
        <w:rPr>
          <w:lang w:val="en-150"/>
        </w:rPr>
        <w:t xml:space="preserve"> the</w:t>
      </w:r>
      <w:r>
        <w:t xml:space="preserve"> </w:t>
      </w:r>
      <w:r w:rsidR="00744B84">
        <w:rPr>
          <w:lang w:val="en-150"/>
        </w:rPr>
        <w:t>T</w:t>
      </w:r>
      <w:proofErr w:type="spellStart"/>
      <w:r>
        <w:t>unnel</w:t>
      </w:r>
      <w:proofErr w:type="spellEnd"/>
    </w:p>
    <w:p w14:paraId="2707005E" w14:textId="0FB12039" w:rsidR="001264E7" w:rsidRDefault="001264E7" w:rsidP="001264E7">
      <w:r>
        <w:t>Th</w:t>
      </w:r>
      <w:r w:rsidR="00414AE3">
        <w:t xml:space="preserve">is section shows the mobility performance when the train is moving into the tunnel </w:t>
      </w:r>
      <w:r w:rsidR="007B2476">
        <w:t>from the open space</w:t>
      </w:r>
      <w:r w:rsidR="007B2476" w:rsidRPr="00414AE3">
        <w:t xml:space="preserve"> </w:t>
      </w:r>
      <w:r w:rsidR="00414AE3">
        <w:t>(i.e., corresponding to moving in “Same” direction), and leaving the tunnel</w:t>
      </w:r>
      <w:r w:rsidR="007B2476">
        <w:t xml:space="preserve"> to the open space</w:t>
      </w:r>
      <w:r w:rsidR="00414AE3">
        <w:t xml:space="preserve"> (i.e., corresponding to moving in “</w:t>
      </w:r>
      <w:proofErr w:type="spellStart"/>
      <w:r w:rsidR="00414AE3">
        <w:t>Opp</w:t>
      </w:r>
      <w:proofErr w:type="spellEnd"/>
      <w:r w:rsidR="00414AE3">
        <w:t>” direction). The deployment in open space follows Scenario A.</w:t>
      </w:r>
    </w:p>
    <w:p w14:paraId="7C769CA4" w14:textId="6BD97A8F" w:rsidR="00E343B8" w:rsidRDefault="00E343B8" w:rsidP="00E343B8">
      <w:r>
        <w:fldChar w:fldCharType="begin"/>
      </w:r>
      <w:r>
        <w:instrText xml:space="preserve"> REF _Ref131408057 \h </w:instrText>
      </w:r>
      <w:r>
        <w:fldChar w:fldCharType="separate"/>
      </w:r>
      <w:r w:rsidR="0087209C">
        <w:t xml:space="preserve">Figure </w:t>
      </w:r>
      <w:r w:rsidR="0087209C">
        <w:rPr>
          <w:noProof/>
        </w:rPr>
        <w:t>2</w:t>
      </w:r>
      <w:r>
        <w:fldChar w:fldCharType="end"/>
      </w:r>
      <w:r>
        <w:t xml:space="preserve"> </w:t>
      </w:r>
      <w:bookmarkStart w:id="9" w:name="_Hlk118715769"/>
      <w:r>
        <w:t>shows time-of-outage rate</w:t>
      </w:r>
      <w:bookmarkEnd w:id="9"/>
      <w:r w:rsidR="00E16575">
        <w:t xml:space="preserve"> which the time</w:t>
      </w:r>
      <w:r w:rsidRPr="00695C19">
        <w:t xml:space="preserve"> is detected mainly when SINR drops below -8 dB or handover is executed</w:t>
      </w:r>
      <w:r>
        <w:t>.</w:t>
      </w:r>
      <w:r w:rsidR="00E16575">
        <w:t xml:space="preserve"> Time-of-outage is seen</w:t>
      </w:r>
      <w:r w:rsidR="00CC706F">
        <w:t xml:space="preserve"> to</w:t>
      </w:r>
      <w:r w:rsidR="00E16575">
        <w:t xml:space="preserve"> clearly increase for the setup with limited </w:t>
      </w:r>
      <w:proofErr w:type="spellStart"/>
      <w:r w:rsidR="00E16575">
        <w:t>LoS</w:t>
      </w:r>
      <w:proofErr w:type="spellEnd"/>
      <w:r w:rsidR="00E16575">
        <w:t xml:space="preserve"> coverage, and the increase is significant for longer DRX cycles.</w:t>
      </w:r>
    </w:p>
    <w:p w14:paraId="73C4CD5E" w14:textId="56B83630" w:rsidR="0007359D" w:rsidRDefault="0007359D" w:rsidP="0007359D">
      <w:r>
        <w:rPr>
          <w:noProof/>
        </w:rPr>
        <w:drawing>
          <wp:inline distT="0" distB="0" distL="0" distR="0" wp14:anchorId="1228D1D3" wp14:editId="0A054670">
            <wp:extent cx="2741434" cy="2394354"/>
            <wp:effectExtent l="0" t="0" r="1905" b="6350"/>
            <wp:docPr id="1" name="Picture 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bar char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2755605" cy="2406731"/>
                    </a:xfrm>
                    <a:prstGeom prst="rect">
                      <a:avLst/>
                    </a:prstGeom>
                  </pic:spPr>
                </pic:pic>
              </a:graphicData>
            </a:graphic>
          </wp:inline>
        </w:drawing>
      </w:r>
      <w:r>
        <w:t xml:space="preserve">    </w:t>
      </w:r>
      <w:r>
        <w:rPr>
          <w:noProof/>
        </w:rPr>
        <w:drawing>
          <wp:inline distT="0" distB="0" distL="0" distR="0" wp14:anchorId="5D7CFDC2" wp14:editId="4D09436D">
            <wp:extent cx="2733322" cy="240673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8">
                      <a:extLst>
                        <a:ext uri="{28A0092B-C50C-407E-A947-70E740481C1C}">
                          <a14:useLocalDpi xmlns:a14="http://schemas.microsoft.com/office/drawing/2010/main" val="0"/>
                        </a:ext>
                      </a:extLst>
                    </a:blip>
                    <a:stretch>
                      <a:fillRect/>
                    </a:stretch>
                  </pic:blipFill>
                  <pic:spPr>
                    <a:xfrm>
                      <a:off x="0" y="0"/>
                      <a:ext cx="2733322" cy="2406731"/>
                    </a:xfrm>
                    <a:prstGeom prst="rect">
                      <a:avLst/>
                    </a:prstGeom>
                  </pic:spPr>
                </pic:pic>
              </a:graphicData>
            </a:graphic>
          </wp:inline>
        </w:drawing>
      </w:r>
    </w:p>
    <w:p w14:paraId="5B64BD5B" w14:textId="6159B29A" w:rsidR="009503A0" w:rsidRDefault="009503A0" w:rsidP="00744B84">
      <w:pPr>
        <w:pStyle w:val="Caption"/>
      </w:pPr>
      <w:bookmarkStart w:id="10" w:name="_Ref131408057"/>
      <w:r>
        <w:t xml:space="preserve">Figure </w:t>
      </w:r>
      <w:r w:rsidR="00F06485">
        <w:fldChar w:fldCharType="begin"/>
      </w:r>
      <w:r w:rsidR="00F06485">
        <w:instrText xml:space="preserve"> SEQ Figure \* ARABIC </w:instrText>
      </w:r>
      <w:r w:rsidR="00F06485">
        <w:fldChar w:fldCharType="separate"/>
      </w:r>
      <w:r w:rsidR="0087209C">
        <w:rPr>
          <w:noProof/>
        </w:rPr>
        <w:t>2</w:t>
      </w:r>
      <w:r w:rsidR="00F06485">
        <w:rPr>
          <w:noProof/>
        </w:rPr>
        <w:fldChar w:fldCharType="end"/>
      </w:r>
      <w:bookmarkStart w:id="11" w:name="_Hlk131279486"/>
      <w:bookmarkEnd w:id="10"/>
      <w:r>
        <w:t xml:space="preserve">: </w:t>
      </w:r>
      <w:bookmarkEnd w:id="11"/>
      <w:r>
        <w:t>Time-of-outage percentage in Scenario A: (left) when UE transits from open space to tunnel; (right) when UE is moving in open space</w:t>
      </w:r>
      <w:r w:rsidR="00E343B8">
        <w:t xml:space="preserve"> </w:t>
      </w:r>
      <w:r w:rsidR="00E343B8">
        <w:fldChar w:fldCharType="begin"/>
      </w:r>
      <w:r w:rsidR="00E343B8">
        <w:instrText xml:space="preserve"> REF _Ref118752331 \r \h </w:instrText>
      </w:r>
      <w:r w:rsidR="00E343B8">
        <w:fldChar w:fldCharType="separate"/>
      </w:r>
      <w:r w:rsidR="0087209C">
        <w:t>[4]</w:t>
      </w:r>
      <w:r w:rsidR="00E343B8">
        <w:fldChar w:fldCharType="end"/>
      </w:r>
      <w:r>
        <w:t>.</w:t>
      </w:r>
    </w:p>
    <w:p w14:paraId="6DF48C3B" w14:textId="677DBC9B" w:rsidR="00E16575" w:rsidRPr="00E16575" w:rsidRDefault="00E16575" w:rsidP="00E16575">
      <w:r>
        <w:fldChar w:fldCharType="begin"/>
      </w:r>
      <w:r>
        <w:instrText xml:space="preserve"> REF _Ref131602833 \h </w:instrText>
      </w:r>
      <w:r>
        <w:fldChar w:fldCharType="separate"/>
      </w:r>
      <w:r w:rsidR="0087209C">
        <w:t xml:space="preserve">Figure </w:t>
      </w:r>
      <w:r w:rsidR="0087209C">
        <w:rPr>
          <w:noProof/>
        </w:rPr>
        <w:t>3</w:t>
      </w:r>
      <w:r>
        <w:fldChar w:fldCharType="end"/>
      </w:r>
      <w:r>
        <w:t xml:space="preserve"> shows </w:t>
      </w:r>
      <w:bookmarkStart w:id="12" w:name="_Hlk118715272"/>
      <w:r>
        <w:t>inter-cell mobility failure rate, where the rate is defined with formula (RLF+HOF)/(RLF+HOF+HO) * 100 [%].</w:t>
      </w:r>
      <w:bookmarkEnd w:id="12"/>
      <w:r>
        <w:t xml:space="preserve"> We observed that the limited coverage issue does not have any impact when the train is moving same with the beam point direction. It is understandable seen the coverage inside the tunnel is sufficient (d=300m). However</w:t>
      </w:r>
      <w:r w:rsidR="00AC1D1A">
        <w:t>,</w:t>
      </w:r>
      <w:r>
        <w:t xml:space="preserve"> failure rate is significantly increase</w:t>
      </w:r>
      <w:r w:rsidR="00EA0AFD">
        <w:t>d</w:t>
      </w:r>
      <w:r w:rsidRPr="00E16575">
        <w:t xml:space="preserve"> </w:t>
      </w:r>
      <w:r>
        <w:t>when train is moving</w:t>
      </w:r>
      <w:r w:rsidR="00AC1D1A">
        <w:t xml:space="preserve"> opposite to beam direction</w:t>
      </w:r>
      <w:r w:rsidR="00EA0AFD">
        <w:t xml:space="preserve"> (i.e., leaving the tunnel)</w:t>
      </w:r>
      <w:r>
        <w:t>. The failures occur even with DRX cycle less than 80ms which is not the case when the train only moving in the open space.</w:t>
      </w:r>
      <w:r w:rsidR="00AC1D1A">
        <w:t xml:space="preserve"> This can be explained that UE does not see the next RRH early enough to make </w:t>
      </w:r>
      <w:r w:rsidR="00EA0AFD">
        <w:t>timely</w:t>
      </w:r>
      <w:r w:rsidR="00AC1D1A">
        <w:t xml:space="preserve"> HO when it is about </w:t>
      </w:r>
      <w:r w:rsidR="00EA0AFD">
        <w:t>to leave</w:t>
      </w:r>
      <w:r w:rsidR="00AC1D1A">
        <w:t xml:space="preserve"> the tunnel.</w:t>
      </w:r>
    </w:p>
    <w:p w14:paraId="16142022" w14:textId="6C34BED4" w:rsidR="0007359D" w:rsidRDefault="0007359D" w:rsidP="0007359D">
      <w:r>
        <w:rPr>
          <w:noProof/>
        </w:rPr>
        <w:drawing>
          <wp:inline distT="0" distB="0" distL="0" distR="0" wp14:anchorId="1D218455" wp14:editId="11BEF4E5">
            <wp:extent cx="2755605" cy="2406730"/>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9">
                      <a:extLst>
                        <a:ext uri="{28A0092B-C50C-407E-A947-70E740481C1C}">
                          <a14:useLocalDpi xmlns:a14="http://schemas.microsoft.com/office/drawing/2010/main" val="0"/>
                        </a:ext>
                      </a:extLst>
                    </a:blip>
                    <a:stretch>
                      <a:fillRect/>
                    </a:stretch>
                  </pic:blipFill>
                  <pic:spPr>
                    <a:xfrm>
                      <a:off x="0" y="0"/>
                      <a:ext cx="2755605" cy="2406730"/>
                    </a:xfrm>
                    <a:prstGeom prst="rect">
                      <a:avLst/>
                    </a:prstGeom>
                  </pic:spPr>
                </pic:pic>
              </a:graphicData>
            </a:graphic>
          </wp:inline>
        </w:drawing>
      </w:r>
      <w:r>
        <w:t xml:space="preserve">    </w:t>
      </w:r>
      <w:r>
        <w:rPr>
          <w:noProof/>
        </w:rPr>
        <w:drawing>
          <wp:inline distT="0" distB="0" distL="0" distR="0" wp14:anchorId="54CAFC93" wp14:editId="14C46E72">
            <wp:extent cx="2733322" cy="240673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20">
                      <a:extLst>
                        <a:ext uri="{28A0092B-C50C-407E-A947-70E740481C1C}">
                          <a14:useLocalDpi xmlns:a14="http://schemas.microsoft.com/office/drawing/2010/main" val="0"/>
                        </a:ext>
                      </a:extLst>
                    </a:blip>
                    <a:stretch>
                      <a:fillRect/>
                    </a:stretch>
                  </pic:blipFill>
                  <pic:spPr>
                    <a:xfrm>
                      <a:off x="0" y="0"/>
                      <a:ext cx="2733322" cy="2406731"/>
                    </a:xfrm>
                    <a:prstGeom prst="rect">
                      <a:avLst/>
                    </a:prstGeom>
                  </pic:spPr>
                </pic:pic>
              </a:graphicData>
            </a:graphic>
          </wp:inline>
        </w:drawing>
      </w:r>
    </w:p>
    <w:p w14:paraId="3E89B8B6" w14:textId="71FA55D7" w:rsidR="009503A0" w:rsidRDefault="009503A0" w:rsidP="00744B84">
      <w:pPr>
        <w:pStyle w:val="Caption"/>
      </w:pPr>
      <w:bookmarkStart w:id="13" w:name="_Ref131602833"/>
      <w:r>
        <w:lastRenderedPageBreak/>
        <w:t xml:space="preserve">Figure </w:t>
      </w:r>
      <w:r w:rsidR="00F06485">
        <w:fldChar w:fldCharType="begin"/>
      </w:r>
      <w:r w:rsidR="00F06485">
        <w:instrText xml:space="preserve"> SEQ Figure \* ARABIC </w:instrText>
      </w:r>
      <w:r w:rsidR="00F06485">
        <w:fldChar w:fldCharType="separate"/>
      </w:r>
      <w:r w:rsidR="0087209C">
        <w:rPr>
          <w:noProof/>
        </w:rPr>
        <w:t>3</w:t>
      </w:r>
      <w:r w:rsidR="00F06485">
        <w:rPr>
          <w:noProof/>
        </w:rPr>
        <w:fldChar w:fldCharType="end"/>
      </w:r>
      <w:bookmarkEnd w:id="13"/>
      <w:r>
        <w:t>: Inter-cell mobility failure rate in Scenario A: (left) when UE transits from open space to tunnel; (right) when UE is moving in open space</w:t>
      </w:r>
      <w:r w:rsidR="00E343B8">
        <w:t xml:space="preserve"> </w:t>
      </w:r>
      <w:r w:rsidR="00E343B8">
        <w:fldChar w:fldCharType="begin"/>
      </w:r>
      <w:r w:rsidR="00E343B8">
        <w:instrText xml:space="preserve"> REF _Ref118752331 \r \h </w:instrText>
      </w:r>
      <w:r w:rsidR="00E343B8">
        <w:fldChar w:fldCharType="separate"/>
      </w:r>
      <w:r w:rsidR="0087209C">
        <w:t>[4]</w:t>
      </w:r>
      <w:r w:rsidR="00E343B8">
        <w:fldChar w:fldCharType="end"/>
      </w:r>
      <w:r>
        <w:t>.</w:t>
      </w:r>
    </w:p>
    <w:p w14:paraId="2E1C7DD5" w14:textId="77777777" w:rsidR="0007359D" w:rsidRDefault="0007359D" w:rsidP="0007359D"/>
    <w:p w14:paraId="4F4DF5B2" w14:textId="0B9AE7E3" w:rsidR="0007359D" w:rsidRDefault="0007359D" w:rsidP="0007359D">
      <w:pPr>
        <w:pStyle w:val="RAN4H3"/>
      </w:pPr>
      <w:r>
        <w:t>Transition from</w:t>
      </w:r>
      <w:r w:rsidR="00744B84">
        <w:rPr>
          <w:lang w:val="en-150"/>
        </w:rPr>
        <w:t xml:space="preserve"> open-space</w:t>
      </w:r>
      <w:r>
        <w:t xml:space="preserve"> Scenario</w:t>
      </w:r>
      <w:r w:rsidR="00744B84">
        <w:rPr>
          <w:lang w:val="en-150"/>
        </w:rPr>
        <w:t>-</w:t>
      </w:r>
      <w:r>
        <w:t>B to</w:t>
      </w:r>
      <w:r w:rsidR="00744B84">
        <w:rPr>
          <w:lang w:val="en-150"/>
        </w:rPr>
        <w:t xml:space="preserve"> the</w:t>
      </w:r>
      <w:r>
        <w:t xml:space="preserve"> </w:t>
      </w:r>
      <w:r w:rsidR="00744B84">
        <w:rPr>
          <w:lang w:val="en-150"/>
        </w:rPr>
        <w:t>T</w:t>
      </w:r>
      <w:proofErr w:type="spellStart"/>
      <w:r>
        <w:t>unnel</w:t>
      </w:r>
      <w:proofErr w:type="spellEnd"/>
    </w:p>
    <w:p w14:paraId="108DE2E1" w14:textId="73DF9608" w:rsidR="00414AE3" w:rsidRDefault="00414AE3" w:rsidP="00414AE3">
      <w:r w:rsidRPr="00414AE3">
        <w:t xml:space="preserve">This section shows the mobility performance when the train is moving into the tunnel </w:t>
      </w:r>
      <w:r w:rsidR="007B2476">
        <w:t xml:space="preserve">from the open space </w:t>
      </w:r>
      <w:r w:rsidRPr="00414AE3">
        <w:t>(i.e., corresponding to moving in “Same” direction), and leaving the tunnel</w:t>
      </w:r>
      <w:r w:rsidR="007B2476">
        <w:t xml:space="preserve"> to the open space</w:t>
      </w:r>
      <w:r w:rsidRPr="00414AE3">
        <w:t xml:space="preserve"> (i.e., corresponding to moving in “</w:t>
      </w:r>
      <w:proofErr w:type="spellStart"/>
      <w:r w:rsidRPr="00414AE3">
        <w:t>Opp</w:t>
      </w:r>
      <w:proofErr w:type="spellEnd"/>
      <w:r w:rsidRPr="00414AE3">
        <w:t xml:space="preserve">” direction). The deployment in open space follows Scenario </w:t>
      </w:r>
      <w:r>
        <w:t>B</w:t>
      </w:r>
      <w:r w:rsidRPr="00414AE3">
        <w:t>.</w:t>
      </w:r>
    </w:p>
    <w:p w14:paraId="087325E4" w14:textId="3617968E" w:rsidR="00414AE3" w:rsidRDefault="00414AE3" w:rsidP="00414AE3">
      <w:r>
        <w:fldChar w:fldCharType="begin"/>
      </w:r>
      <w:r>
        <w:instrText xml:space="preserve"> REF _Ref131607710 \h </w:instrText>
      </w:r>
      <w:r>
        <w:fldChar w:fldCharType="separate"/>
      </w:r>
      <w:r w:rsidR="0087209C">
        <w:t xml:space="preserve">Figure </w:t>
      </w:r>
      <w:r w:rsidR="0087209C">
        <w:rPr>
          <w:noProof/>
        </w:rPr>
        <w:t>4</w:t>
      </w:r>
      <w:r>
        <w:fldChar w:fldCharType="end"/>
      </w:r>
      <w:r>
        <w:t xml:space="preserve"> and </w:t>
      </w:r>
      <w:r>
        <w:fldChar w:fldCharType="begin"/>
      </w:r>
      <w:r>
        <w:instrText xml:space="preserve"> REF _Ref131607713 \h </w:instrText>
      </w:r>
      <w:r>
        <w:fldChar w:fldCharType="separate"/>
      </w:r>
      <w:r w:rsidR="0087209C">
        <w:t xml:space="preserve">Figure </w:t>
      </w:r>
      <w:r w:rsidR="0087209C">
        <w:rPr>
          <w:noProof/>
        </w:rPr>
        <w:t>5</w:t>
      </w:r>
      <w:r>
        <w:fldChar w:fldCharType="end"/>
      </w:r>
      <w:r>
        <w:t xml:space="preserve"> show the time-of-outage percentage and </w:t>
      </w:r>
      <w:r w:rsidR="00076F72">
        <w:t>inter-cell mobility failure rate, respectively. Similar to results considering</w:t>
      </w:r>
      <w:r w:rsidR="0066397D">
        <w:t xml:space="preserve"> the transition from</w:t>
      </w:r>
      <w:r w:rsidR="00076F72">
        <w:t xml:space="preserve"> Scenario A</w:t>
      </w:r>
      <w:r w:rsidR="0066397D">
        <w:t xml:space="preserve"> to the tunnel</w:t>
      </w:r>
      <w:r w:rsidR="00076F72">
        <w:t xml:space="preserve">, the time-of-outage and mobility failure rate increase when taking into account the </w:t>
      </w:r>
      <w:proofErr w:type="spellStart"/>
      <w:r w:rsidR="00076F72">
        <w:t>NLoS</w:t>
      </w:r>
      <w:proofErr w:type="spellEnd"/>
      <w:r w:rsidR="00076F72">
        <w:t xml:space="preserve"> condition at the transition area. The impacts are also seen to be more significant for “</w:t>
      </w:r>
      <w:proofErr w:type="spellStart"/>
      <w:r w:rsidR="00076F72">
        <w:t>Opp</w:t>
      </w:r>
      <w:proofErr w:type="spellEnd"/>
      <w:r w:rsidR="00076F72">
        <w:t xml:space="preserve">” direction. Moreover, we observed that mobility failure rate occurs when DRX is longer than 40ms in “Same” direction, which are not the case for the travelling only in the open space. </w:t>
      </w:r>
      <w:r w:rsidR="0066397D">
        <w:t>This is because the coverage of the open-space RRHs at the tunnel entrance is more limited in the Scenario B (d=26m).</w:t>
      </w:r>
    </w:p>
    <w:p w14:paraId="7933EEAC" w14:textId="0D842254" w:rsidR="0007359D" w:rsidRDefault="0007359D" w:rsidP="0007359D">
      <w:r>
        <w:rPr>
          <w:noProof/>
        </w:rPr>
        <w:drawing>
          <wp:inline distT="0" distB="0" distL="0" distR="0" wp14:anchorId="6723A3CB" wp14:editId="42501A54">
            <wp:extent cx="2722614" cy="2406731"/>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21">
                      <a:extLst>
                        <a:ext uri="{28A0092B-C50C-407E-A947-70E740481C1C}">
                          <a14:useLocalDpi xmlns:a14="http://schemas.microsoft.com/office/drawing/2010/main" val="0"/>
                        </a:ext>
                      </a:extLst>
                    </a:blip>
                    <a:stretch>
                      <a:fillRect/>
                    </a:stretch>
                  </pic:blipFill>
                  <pic:spPr>
                    <a:xfrm>
                      <a:off x="0" y="0"/>
                      <a:ext cx="2722614" cy="2406731"/>
                    </a:xfrm>
                    <a:prstGeom prst="rect">
                      <a:avLst/>
                    </a:prstGeom>
                  </pic:spPr>
                </pic:pic>
              </a:graphicData>
            </a:graphic>
          </wp:inline>
        </w:drawing>
      </w:r>
      <w:r>
        <w:t xml:space="preserve">    </w:t>
      </w:r>
      <w:r>
        <w:rPr>
          <w:noProof/>
        </w:rPr>
        <w:drawing>
          <wp:inline distT="0" distB="0" distL="0" distR="0" wp14:anchorId="4F98FF13" wp14:editId="6B641274">
            <wp:extent cx="2745493" cy="240673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22">
                      <a:extLst>
                        <a:ext uri="{28A0092B-C50C-407E-A947-70E740481C1C}">
                          <a14:useLocalDpi xmlns:a14="http://schemas.microsoft.com/office/drawing/2010/main" val="0"/>
                        </a:ext>
                      </a:extLst>
                    </a:blip>
                    <a:stretch>
                      <a:fillRect/>
                    </a:stretch>
                  </pic:blipFill>
                  <pic:spPr>
                    <a:xfrm>
                      <a:off x="0" y="0"/>
                      <a:ext cx="2745493" cy="2406731"/>
                    </a:xfrm>
                    <a:prstGeom prst="rect">
                      <a:avLst/>
                    </a:prstGeom>
                  </pic:spPr>
                </pic:pic>
              </a:graphicData>
            </a:graphic>
          </wp:inline>
        </w:drawing>
      </w:r>
    </w:p>
    <w:p w14:paraId="21259874" w14:textId="4FB2580D" w:rsidR="009503A0" w:rsidRDefault="009503A0" w:rsidP="009503A0">
      <w:pPr>
        <w:pStyle w:val="Caption"/>
        <w:jc w:val="left"/>
      </w:pPr>
      <w:bookmarkStart w:id="14" w:name="_Ref131607710"/>
      <w:r>
        <w:t xml:space="preserve">Figure </w:t>
      </w:r>
      <w:r w:rsidR="00F06485">
        <w:fldChar w:fldCharType="begin"/>
      </w:r>
      <w:r w:rsidR="00F06485">
        <w:instrText xml:space="preserve"> SEQ Figure \* ARABIC </w:instrText>
      </w:r>
      <w:r w:rsidR="00F06485">
        <w:fldChar w:fldCharType="separate"/>
      </w:r>
      <w:r w:rsidR="0087209C">
        <w:rPr>
          <w:noProof/>
        </w:rPr>
        <w:t>4</w:t>
      </w:r>
      <w:r w:rsidR="00F06485">
        <w:rPr>
          <w:noProof/>
        </w:rPr>
        <w:fldChar w:fldCharType="end"/>
      </w:r>
      <w:bookmarkEnd w:id="14"/>
      <w:r>
        <w:t xml:space="preserve">: Time-of-outage percentage: (left) when UE transits </w:t>
      </w:r>
      <w:r w:rsidR="00BA2C2F">
        <w:t>from open space Scenario B to tunnel</w:t>
      </w:r>
      <w:r>
        <w:t>; (right) when UE is moving in open space</w:t>
      </w:r>
      <w:r w:rsidR="00E343B8">
        <w:t xml:space="preserve"> </w:t>
      </w:r>
      <w:r w:rsidR="00E343B8">
        <w:fldChar w:fldCharType="begin"/>
      </w:r>
      <w:r w:rsidR="00E343B8">
        <w:instrText xml:space="preserve"> REF _Ref118752331 \r \h </w:instrText>
      </w:r>
      <w:r w:rsidR="00E343B8">
        <w:fldChar w:fldCharType="separate"/>
      </w:r>
      <w:r w:rsidR="0087209C">
        <w:t>[4]</w:t>
      </w:r>
      <w:r w:rsidR="00E343B8">
        <w:fldChar w:fldCharType="end"/>
      </w:r>
      <w:r>
        <w:t>.</w:t>
      </w:r>
    </w:p>
    <w:p w14:paraId="1AE6DE75" w14:textId="1CA95DB6" w:rsidR="0007359D" w:rsidRDefault="0007359D" w:rsidP="0007359D">
      <w:r>
        <w:rPr>
          <w:noProof/>
        </w:rPr>
        <w:drawing>
          <wp:inline distT="0" distB="0" distL="0" distR="0" wp14:anchorId="25F0DEE9" wp14:editId="2E537A92">
            <wp:extent cx="2722614" cy="2406731"/>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23">
                      <a:extLst>
                        <a:ext uri="{28A0092B-C50C-407E-A947-70E740481C1C}">
                          <a14:useLocalDpi xmlns:a14="http://schemas.microsoft.com/office/drawing/2010/main" val="0"/>
                        </a:ext>
                      </a:extLst>
                    </a:blip>
                    <a:stretch>
                      <a:fillRect/>
                    </a:stretch>
                  </pic:blipFill>
                  <pic:spPr>
                    <a:xfrm>
                      <a:off x="0" y="0"/>
                      <a:ext cx="2722614" cy="2406731"/>
                    </a:xfrm>
                    <a:prstGeom prst="rect">
                      <a:avLst/>
                    </a:prstGeom>
                  </pic:spPr>
                </pic:pic>
              </a:graphicData>
            </a:graphic>
          </wp:inline>
        </w:drawing>
      </w:r>
      <w:r>
        <w:t xml:space="preserve">    </w:t>
      </w:r>
      <w:r>
        <w:rPr>
          <w:noProof/>
        </w:rPr>
        <w:drawing>
          <wp:inline distT="0" distB="0" distL="0" distR="0" wp14:anchorId="4ECA546E" wp14:editId="7572F89B">
            <wp:extent cx="2745493" cy="240673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24">
                      <a:extLst>
                        <a:ext uri="{28A0092B-C50C-407E-A947-70E740481C1C}">
                          <a14:useLocalDpi xmlns:a14="http://schemas.microsoft.com/office/drawing/2010/main" val="0"/>
                        </a:ext>
                      </a:extLst>
                    </a:blip>
                    <a:stretch>
                      <a:fillRect/>
                    </a:stretch>
                  </pic:blipFill>
                  <pic:spPr>
                    <a:xfrm>
                      <a:off x="0" y="0"/>
                      <a:ext cx="2745493" cy="2406731"/>
                    </a:xfrm>
                    <a:prstGeom prst="rect">
                      <a:avLst/>
                    </a:prstGeom>
                  </pic:spPr>
                </pic:pic>
              </a:graphicData>
            </a:graphic>
          </wp:inline>
        </w:drawing>
      </w:r>
    </w:p>
    <w:p w14:paraId="287CDDCB" w14:textId="48B93B8B" w:rsidR="009503A0" w:rsidRDefault="009503A0" w:rsidP="009503A0">
      <w:pPr>
        <w:pStyle w:val="Caption"/>
        <w:jc w:val="left"/>
      </w:pPr>
      <w:bookmarkStart w:id="15" w:name="_Ref131607713"/>
      <w:r>
        <w:t xml:space="preserve">Figure </w:t>
      </w:r>
      <w:r w:rsidR="00F06485">
        <w:fldChar w:fldCharType="begin"/>
      </w:r>
      <w:r w:rsidR="00F06485">
        <w:instrText xml:space="preserve"> SEQ Figure \* ARABIC </w:instrText>
      </w:r>
      <w:r w:rsidR="00F06485">
        <w:fldChar w:fldCharType="separate"/>
      </w:r>
      <w:r w:rsidR="0087209C">
        <w:rPr>
          <w:noProof/>
        </w:rPr>
        <w:t>5</w:t>
      </w:r>
      <w:r w:rsidR="00F06485">
        <w:rPr>
          <w:noProof/>
        </w:rPr>
        <w:fldChar w:fldCharType="end"/>
      </w:r>
      <w:bookmarkEnd w:id="15"/>
      <w:r>
        <w:t>: Inter-cell mobility failure rate: (left) when UE transits from open spac</w:t>
      </w:r>
      <w:r w:rsidR="00BA2C2F">
        <w:t>e Scenario B</w:t>
      </w:r>
      <w:r>
        <w:t xml:space="preserve"> to tunnel; (right) when UE is moving in open space</w:t>
      </w:r>
      <w:r w:rsidR="00E343B8">
        <w:t xml:space="preserve"> </w:t>
      </w:r>
      <w:r w:rsidR="00E343B8">
        <w:fldChar w:fldCharType="begin"/>
      </w:r>
      <w:r w:rsidR="00E343B8">
        <w:instrText xml:space="preserve"> REF _Ref118752331 \r \h </w:instrText>
      </w:r>
      <w:r w:rsidR="00E343B8">
        <w:fldChar w:fldCharType="separate"/>
      </w:r>
      <w:r w:rsidR="0087209C">
        <w:t>[4]</w:t>
      </w:r>
      <w:r w:rsidR="00E343B8">
        <w:fldChar w:fldCharType="end"/>
      </w:r>
      <w:r>
        <w:t>.</w:t>
      </w:r>
    </w:p>
    <w:p w14:paraId="5DC2F2BB" w14:textId="77777777" w:rsidR="0007359D" w:rsidRDefault="0007359D" w:rsidP="0007359D"/>
    <w:p w14:paraId="58185343" w14:textId="09106B62" w:rsidR="0007359D" w:rsidRPr="0007359D" w:rsidRDefault="00076F72" w:rsidP="00076F72">
      <w:pPr>
        <w:pStyle w:val="RAN4observation0"/>
      </w:pPr>
      <w:bookmarkStart w:id="16" w:name="_Toc131705484"/>
      <w:proofErr w:type="spellStart"/>
      <w:r>
        <w:lastRenderedPageBreak/>
        <w:t>NLoS</w:t>
      </w:r>
      <w:proofErr w:type="spellEnd"/>
      <w:r>
        <w:t xml:space="preserve"> condition at the transition area between open space and tunnel</w:t>
      </w:r>
      <w:r w:rsidR="000D45CF">
        <w:t xml:space="preserve"> </w:t>
      </w:r>
      <w:r>
        <w:t>due to limited coverage of open-space RRH’s beam inside the tunnel has impact to mobility performances, i.e., increase the time-of-outage and mobility failure rate.</w:t>
      </w:r>
      <w:bookmarkEnd w:id="16"/>
      <w:r w:rsidR="00BA2C2F">
        <w:t xml:space="preserve"> </w:t>
      </w:r>
    </w:p>
    <w:p w14:paraId="4E959B2E" w14:textId="5843D09B" w:rsidR="00510E02" w:rsidRDefault="00510E02" w:rsidP="00510E02">
      <w:pPr>
        <w:pStyle w:val="RAN4H2"/>
      </w:pPr>
      <w:r>
        <w:t>Mobility performance</w:t>
      </w:r>
      <w:r w:rsidR="009A4647">
        <w:t>s</w:t>
      </w:r>
      <w:r>
        <w:t xml:space="preserve"> for single-panel reception in bi-directional deployment</w:t>
      </w:r>
    </w:p>
    <w:p w14:paraId="454E0912" w14:textId="563F115E" w:rsidR="00CC706F" w:rsidRDefault="007B2476" w:rsidP="00441A5D">
      <w:r>
        <w:t xml:space="preserve">According to RAN4#106 WF </w:t>
      </w:r>
      <w:r>
        <w:fldChar w:fldCharType="begin"/>
      </w:r>
      <w:r>
        <w:instrText xml:space="preserve"> REF _Ref118741301 \r \h </w:instrText>
      </w:r>
      <w:r>
        <w:fldChar w:fldCharType="separate"/>
      </w:r>
      <w:r w:rsidR="0087209C">
        <w:t>[2]</w:t>
      </w:r>
      <w:r>
        <w:fldChar w:fldCharType="end"/>
      </w:r>
      <w:r>
        <w:t>, b</w:t>
      </w:r>
      <w:r w:rsidR="00441A5D">
        <w:t xml:space="preserve">i-directional deployment with single-panel reception </w:t>
      </w:r>
      <w:r>
        <w:t xml:space="preserve">is one of the configurations in tunnel scenario to be further studied. This section provides </w:t>
      </w:r>
      <w:r w:rsidR="001B1234">
        <w:t xml:space="preserve">system </w:t>
      </w:r>
      <w:r>
        <w:t xml:space="preserve">simulation results </w:t>
      </w:r>
      <w:r w:rsidR="001B1234">
        <w:t>on mobility performances of the bi-directional deployment inside the tunnel. The aim is to get insights what could be mobility issues that may occur in this deployment.</w:t>
      </w:r>
    </w:p>
    <w:p w14:paraId="63663667" w14:textId="3BCB9F8C" w:rsidR="00441A5D" w:rsidRPr="00441A5D" w:rsidRDefault="00CC706F" w:rsidP="00441A5D">
      <w:r>
        <w:t>In this simulation, d</w:t>
      </w:r>
      <w:r w:rsidR="001B1234">
        <w:t xml:space="preserve">eployment parameters follow what were agreed in RAN4#105 </w:t>
      </w:r>
      <w:r w:rsidR="001B1234">
        <w:fldChar w:fldCharType="begin"/>
      </w:r>
      <w:r w:rsidR="001B1234">
        <w:instrText xml:space="preserve"> REF _Ref131609376 \r \h </w:instrText>
      </w:r>
      <w:r w:rsidR="001B1234">
        <w:fldChar w:fldCharType="separate"/>
      </w:r>
      <w:r w:rsidR="0087209C">
        <w:t>[6]</w:t>
      </w:r>
      <w:r w:rsidR="001B1234">
        <w:fldChar w:fldCharType="end"/>
      </w:r>
      <w:r w:rsidR="001B1234">
        <w:t xml:space="preserve">. RRM setting follows </w:t>
      </w:r>
      <w:r w:rsidR="001B1234" w:rsidRPr="006046EE">
        <w:t>Table 6.3.4.1.2-1 and general settings</w:t>
      </w:r>
      <w:r w:rsidR="001B1234">
        <w:t xml:space="preserve"> follows</w:t>
      </w:r>
      <w:r w:rsidR="001B1234" w:rsidRPr="006046EE">
        <w:t xml:space="preserve"> Table 6.3.8.1-1 from</w:t>
      </w:r>
      <w:r w:rsidR="001B1234">
        <w:t xml:space="preserve"> </w:t>
      </w:r>
      <w:r w:rsidR="001B1234">
        <w:fldChar w:fldCharType="begin"/>
      </w:r>
      <w:r w:rsidR="001B1234">
        <w:instrText xml:space="preserve"> REF _Ref118752331 \r \h </w:instrText>
      </w:r>
      <w:r w:rsidR="001B1234">
        <w:fldChar w:fldCharType="separate"/>
      </w:r>
      <w:r w:rsidR="0087209C">
        <w:t>[4]</w:t>
      </w:r>
      <w:r w:rsidR="001B1234">
        <w:fldChar w:fldCharType="end"/>
      </w:r>
      <w:r w:rsidR="001B1234">
        <w:t xml:space="preserve">. Both </w:t>
      </w:r>
      <w:r w:rsidR="001B1234" w:rsidRPr="006046EE">
        <w:t xml:space="preserve">non-DPS (HO-based) and DPS (L1-based) </w:t>
      </w:r>
      <w:r w:rsidR="001B1234">
        <w:t>schemes are simulated. We report mainly the results with</w:t>
      </w:r>
      <w:r w:rsidR="00441A5D">
        <w:t xml:space="preserve"> MT assumption 3 (simultaneous measurement) as </w:t>
      </w:r>
      <w:r w:rsidR="001B1234">
        <w:t xml:space="preserve">it is </w:t>
      </w:r>
      <w:r w:rsidR="00441A5D">
        <w:t>the best case of mobility setting</w:t>
      </w:r>
      <w:r w:rsidR="001B1234">
        <w:t xml:space="preserve"> in bi-directional deployment with single-panel reception. This is to see the potential benefits offered by </w:t>
      </w:r>
      <w:r>
        <w:t>such</w:t>
      </w:r>
      <w:r w:rsidR="001B1234">
        <w:t xml:space="preserve"> deployment. </w:t>
      </w:r>
      <w:r w:rsidR="00491276">
        <w:t>For comparison, corresponding mobility performance</w:t>
      </w:r>
      <w:r>
        <w:t>s</w:t>
      </w:r>
      <w:r w:rsidR="00491276">
        <w:t xml:space="preserve"> from Scenario A presented in Section 6.3.4 are included.</w:t>
      </w:r>
    </w:p>
    <w:p w14:paraId="55ED86DB" w14:textId="075E4962" w:rsidR="00B80FED" w:rsidRDefault="00B80FED" w:rsidP="00B80FED">
      <w:pPr>
        <w:pStyle w:val="RAN4H3"/>
      </w:pPr>
      <w:r>
        <w:t>Result</w:t>
      </w:r>
      <w:r w:rsidR="00491276">
        <w:t>s</w:t>
      </w:r>
      <w:r>
        <w:t xml:space="preserve"> with DPS (L1-mobility)</w:t>
      </w:r>
    </w:p>
    <w:p w14:paraId="2F77046C" w14:textId="09DFE65F" w:rsidR="00915904" w:rsidRDefault="00491276" w:rsidP="00915904">
      <w:r>
        <w:t xml:space="preserve">This section shows the result with DPS scheme. </w:t>
      </w:r>
    </w:p>
    <w:p w14:paraId="6D958900" w14:textId="7A0AB5F3" w:rsidR="00491276" w:rsidRDefault="00491276" w:rsidP="00915904">
      <w:r>
        <w:fldChar w:fldCharType="begin"/>
      </w:r>
      <w:r>
        <w:instrText xml:space="preserve"> REF _Ref131609830 \h </w:instrText>
      </w:r>
      <w:r>
        <w:fldChar w:fldCharType="separate"/>
      </w:r>
      <w:r w:rsidR="0087209C">
        <w:t xml:space="preserve">Figure </w:t>
      </w:r>
      <w:r w:rsidR="0087209C">
        <w:rPr>
          <w:noProof/>
        </w:rPr>
        <w:t>6</w:t>
      </w:r>
      <w:r>
        <w:fldChar w:fldCharType="end"/>
      </w:r>
      <w:r>
        <w:t xml:space="preserve"> shows beam switch rate per CPE per second. Beam switch rate is seen</w:t>
      </w:r>
      <w:r w:rsidR="00DC4C61">
        <w:t xml:space="preserve"> slightly</w:t>
      </w:r>
      <w:r>
        <w:t xml:space="preserve"> decreased compared to that in Scenario A.</w:t>
      </w:r>
    </w:p>
    <w:p w14:paraId="03F173A3" w14:textId="77777777" w:rsidR="00915904" w:rsidRDefault="00915904" w:rsidP="00915904">
      <w:r>
        <w:rPr>
          <w:noProof/>
        </w:rPr>
        <w:drawing>
          <wp:inline distT="0" distB="0" distL="0" distR="0" wp14:anchorId="23D88691" wp14:editId="3B0EC9BB">
            <wp:extent cx="2715031" cy="2164808"/>
            <wp:effectExtent l="0" t="0" r="9525" b="698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pic:nvPicPr>
                  <pic:blipFill>
                    <a:blip r:embed="rId25">
                      <a:extLst>
                        <a:ext uri="{28A0092B-C50C-407E-A947-70E740481C1C}">
                          <a14:useLocalDpi xmlns:a14="http://schemas.microsoft.com/office/drawing/2010/main" val="0"/>
                        </a:ext>
                      </a:extLst>
                    </a:blip>
                    <a:stretch>
                      <a:fillRect/>
                    </a:stretch>
                  </pic:blipFill>
                  <pic:spPr>
                    <a:xfrm>
                      <a:off x="0" y="0"/>
                      <a:ext cx="2715031" cy="2164808"/>
                    </a:xfrm>
                    <a:prstGeom prst="rect">
                      <a:avLst/>
                    </a:prstGeom>
                  </pic:spPr>
                </pic:pic>
              </a:graphicData>
            </a:graphic>
          </wp:inline>
        </w:drawing>
      </w:r>
      <w:r>
        <w:t xml:space="preserve">    </w:t>
      </w:r>
      <w:r>
        <w:rPr>
          <w:noProof/>
        </w:rPr>
        <w:drawing>
          <wp:inline distT="0" distB="0" distL="0" distR="0" wp14:anchorId="11AEBE1A" wp14:editId="470D94E8">
            <wp:extent cx="2732642" cy="2192468"/>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pic:nvPicPr>
                  <pic:blipFill>
                    <a:blip r:embed="rId26">
                      <a:extLst>
                        <a:ext uri="{28A0092B-C50C-407E-A947-70E740481C1C}">
                          <a14:useLocalDpi xmlns:a14="http://schemas.microsoft.com/office/drawing/2010/main" val="0"/>
                        </a:ext>
                      </a:extLst>
                    </a:blip>
                    <a:stretch>
                      <a:fillRect/>
                    </a:stretch>
                  </pic:blipFill>
                  <pic:spPr>
                    <a:xfrm>
                      <a:off x="0" y="0"/>
                      <a:ext cx="2732642" cy="2192468"/>
                    </a:xfrm>
                    <a:prstGeom prst="rect">
                      <a:avLst/>
                    </a:prstGeom>
                  </pic:spPr>
                </pic:pic>
              </a:graphicData>
            </a:graphic>
          </wp:inline>
        </w:drawing>
      </w:r>
    </w:p>
    <w:p w14:paraId="60EDE3DE" w14:textId="168831C9" w:rsidR="00915904" w:rsidRDefault="00915904" w:rsidP="00915904">
      <w:pPr>
        <w:pStyle w:val="Caption"/>
        <w:jc w:val="left"/>
      </w:pPr>
      <w:bookmarkStart w:id="17" w:name="_Ref131609830"/>
      <w:r>
        <w:t xml:space="preserve">Figure </w:t>
      </w:r>
      <w:r w:rsidR="00F06485">
        <w:fldChar w:fldCharType="begin"/>
      </w:r>
      <w:r w:rsidR="00F06485">
        <w:instrText xml:space="preserve"> SEQ Figure \* ARABIC </w:instrText>
      </w:r>
      <w:r w:rsidR="00F06485">
        <w:fldChar w:fldCharType="separate"/>
      </w:r>
      <w:r w:rsidR="0087209C">
        <w:rPr>
          <w:noProof/>
        </w:rPr>
        <w:t>6</w:t>
      </w:r>
      <w:r w:rsidR="00F06485">
        <w:rPr>
          <w:noProof/>
        </w:rPr>
        <w:fldChar w:fldCharType="end"/>
      </w:r>
      <w:bookmarkEnd w:id="17"/>
      <w:r>
        <w:t>: Beam switch rate in bi-directional deployment with DPS (L1-mobility): (left) in Tunnel; (right) in open space Scenario A.</w:t>
      </w:r>
    </w:p>
    <w:p w14:paraId="214BA992" w14:textId="02040295" w:rsidR="00915904" w:rsidRDefault="00491276" w:rsidP="00915904">
      <w:r>
        <w:fldChar w:fldCharType="begin"/>
      </w:r>
      <w:r>
        <w:instrText xml:space="preserve"> REF _Ref131610115 \h </w:instrText>
      </w:r>
      <w:r>
        <w:fldChar w:fldCharType="separate"/>
      </w:r>
      <w:r w:rsidR="0087209C">
        <w:t xml:space="preserve">Figure </w:t>
      </w:r>
      <w:r w:rsidR="0087209C">
        <w:rPr>
          <w:noProof/>
        </w:rPr>
        <w:t>7</w:t>
      </w:r>
      <w:r>
        <w:fldChar w:fldCharType="end"/>
      </w:r>
      <w:r>
        <w:t xml:space="preserve"> shows beam ping-pong rates, where beam switch</w:t>
      </w:r>
      <w:r w:rsidRPr="00E47744">
        <w:t xml:space="preserve"> is defined as ping-pong if it happens back-and-forth between the two same b</w:t>
      </w:r>
      <w:r>
        <w:t>eams</w:t>
      </w:r>
      <w:r w:rsidRPr="00E47744">
        <w:t xml:space="preserve"> within 1 second</w:t>
      </w:r>
      <w:r>
        <w:t xml:space="preserve">. We observed that the ping-pong rate is relatively similar to </w:t>
      </w:r>
      <w:r w:rsidR="00E06C0F">
        <w:t xml:space="preserve">Scenario in general, except for DRX </w:t>
      </w:r>
      <w:r w:rsidR="00CC706F">
        <w:t>160</w:t>
      </w:r>
      <w:r w:rsidR="00E06C0F">
        <w:t xml:space="preserve"> </w:t>
      </w:r>
      <w:proofErr w:type="spellStart"/>
      <w:r w:rsidR="00E06C0F">
        <w:t>ms</w:t>
      </w:r>
      <w:proofErr w:type="spellEnd"/>
      <w:r w:rsidR="00E06C0F">
        <w:t xml:space="preserve"> where the ping-pong rate considerably increases.</w:t>
      </w:r>
    </w:p>
    <w:p w14:paraId="6EB50B6C" w14:textId="77777777" w:rsidR="00915904" w:rsidRDefault="00915904" w:rsidP="00915904">
      <w:r>
        <w:rPr>
          <w:noProof/>
        </w:rPr>
        <w:lastRenderedPageBreak/>
        <w:drawing>
          <wp:inline distT="0" distB="0" distL="0" distR="0" wp14:anchorId="113747C2" wp14:editId="3F4212B0">
            <wp:extent cx="2715031" cy="2164808"/>
            <wp:effectExtent l="0" t="0" r="9525" b="698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27">
                      <a:extLst>
                        <a:ext uri="{28A0092B-C50C-407E-A947-70E740481C1C}">
                          <a14:useLocalDpi xmlns:a14="http://schemas.microsoft.com/office/drawing/2010/main" val="0"/>
                        </a:ext>
                      </a:extLst>
                    </a:blip>
                    <a:stretch>
                      <a:fillRect/>
                    </a:stretch>
                  </pic:blipFill>
                  <pic:spPr>
                    <a:xfrm>
                      <a:off x="0" y="0"/>
                      <a:ext cx="2715031" cy="2164808"/>
                    </a:xfrm>
                    <a:prstGeom prst="rect">
                      <a:avLst/>
                    </a:prstGeom>
                  </pic:spPr>
                </pic:pic>
              </a:graphicData>
            </a:graphic>
          </wp:inline>
        </w:drawing>
      </w:r>
      <w:r>
        <w:t xml:space="preserve">    </w:t>
      </w:r>
      <w:r>
        <w:rPr>
          <w:noProof/>
        </w:rPr>
        <w:drawing>
          <wp:inline distT="0" distB="0" distL="0" distR="0" wp14:anchorId="79D52DA7" wp14:editId="088DD1D6">
            <wp:extent cx="2732642" cy="2192468"/>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pic:nvPicPr>
                  <pic:blipFill>
                    <a:blip r:embed="rId28">
                      <a:extLst>
                        <a:ext uri="{28A0092B-C50C-407E-A947-70E740481C1C}">
                          <a14:useLocalDpi xmlns:a14="http://schemas.microsoft.com/office/drawing/2010/main" val="0"/>
                        </a:ext>
                      </a:extLst>
                    </a:blip>
                    <a:stretch>
                      <a:fillRect/>
                    </a:stretch>
                  </pic:blipFill>
                  <pic:spPr>
                    <a:xfrm>
                      <a:off x="0" y="0"/>
                      <a:ext cx="2732642" cy="2192468"/>
                    </a:xfrm>
                    <a:prstGeom prst="rect">
                      <a:avLst/>
                    </a:prstGeom>
                  </pic:spPr>
                </pic:pic>
              </a:graphicData>
            </a:graphic>
          </wp:inline>
        </w:drawing>
      </w:r>
    </w:p>
    <w:p w14:paraId="32840FB8" w14:textId="492CDC67" w:rsidR="00915904" w:rsidRDefault="00915904" w:rsidP="00915904">
      <w:pPr>
        <w:pStyle w:val="Caption"/>
        <w:jc w:val="left"/>
      </w:pPr>
      <w:bookmarkStart w:id="18" w:name="_Ref131610115"/>
      <w:r>
        <w:t xml:space="preserve">Figure </w:t>
      </w:r>
      <w:r w:rsidR="00F06485">
        <w:fldChar w:fldCharType="begin"/>
      </w:r>
      <w:r w:rsidR="00F06485">
        <w:instrText xml:space="preserve"> SEQ Figure \* ARABIC </w:instrText>
      </w:r>
      <w:r w:rsidR="00F06485">
        <w:fldChar w:fldCharType="separate"/>
      </w:r>
      <w:r w:rsidR="0087209C">
        <w:rPr>
          <w:noProof/>
        </w:rPr>
        <w:t>7</w:t>
      </w:r>
      <w:r w:rsidR="00F06485">
        <w:rPr>
          <w:noProof/>
        </w:rPr>
        <w:fldChar w:fldCharType="end"/>
      </w:r>
      <w:bookmarkEnd w:id="18"/>
      <w:r>
        <w:t>: Beam ping-pong handover rate in bi-directional deployment with DPS (L1-mobility): (left) in Tunnel; (right) in open space Scenario A.</w:t>
      </w:r>
    </w:p>
    <w:p w14:paraId="4B963473" w14:textId="544D17A0" w:rsidR="00713FBF" w:rsidRDefault="00E06C0F" w:rsidP="00713FBF">
      <w:r>
        <w:fldChar w:fldCharType="begin"/>
      </w:r>
      <w:r>
        <w:instrText xml:space="preserve"> REF _Ref131610372 \h </w:instrText>
      </w:r>
      <w:r>
        <w:fldChar w:fldCharType="separate"/>
      </w:r>
      <w:r w:rsidR="0087209C">
        <w:t xml:space="preserve">Figure </w:t>
      </w:r>
      <w:r w:rsidR="0087209C">
        <w:rPr>
          <w:noProof/>
        </w:rPr>
        <w:t>8</w:t>
      </w:r>
      <w:r>
        <w:fldChar w:fldCharType="end"/>
      </w:r>
      <w:r>
        <w:t xml:space="preserve"> shows time-of-outage</w:t>
      </w:r>
      <w:r w:rsidR="00CC706F">
        <w:t>,</w:t>
      </w:r>
      <w:r>
        <w:t xml:space="preserve"> which is seen to significantly increase in the tunnel</w:t>
      </w:r>
      <w:r w:rsidR="005F6C93">
        <w:t xml:space="preserve"> compared to that in Scenario A.</w:t>
      </w:r>
    </w:p>
    <w:p w14:paraId="43679A8B" w14:textId="7B858041" w:rsidR="00915904" w:rsidRDefault="00915904" w:rsidP="00713FBF">
      <w:r>
        <w:rPr>
          <w:noProof/>
        </w:rPr>
        <w:drawing>
          <wp:inline distT="0" distB="0" distL="0" distR="0" wp14:anchorId="3B2DF7BE" wp14:editId="40D1F3D8">
            <wp:extent cx="2715031" cy="2164808"/>
            <wp:effectExtent l="0" t="0" r="9525" b="698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pic:nvPicPr>
                  <pic:blipFill>
                    <a:blip r:embed="rId29">
                      <a:extLst>
                        <a:ext uri="{28A0092B-C50C-407E-A947-70E740481C1C}">
                          <a14:useLocalDpi xmlns:a14="http://schemas.microsoft.com/office/drawing/2010/main" val="0"/>
                        </a:ext>
                      </a:extLst>
                    </a:blip>
                    <a:stretch>
                      <a:fillRect/>
                    </a:stretch>
                  </pic:blipFill>
                  <pic:spPr>
                    <a:xfrm>
                      <a:off x="0" y="0"/>
                      <a:ext cx="2715031" cy="2164808"/>
                    </a:xfrm>
                    <a:prstGeom prst="rect">
                      <a:avLst/>
                    </a:prstGeom>
                  </pic:spPr>
                </pic:pic>
              </a:graphicData>
            </a:graphic>
          </wp:inline>
        </w:drawing>
      </w:r>
      <w:r>
        <w:t xml:space="preserve">    </w:t>
      </w:r>
      <w:r>
        <w:rPr>
          <w:noProof/>
        </w:rPr>
        <w:drawing>
          <wp:inline distT="0" distB="0" distL="0" distR="0" wp14:anchorId="47FD406C" wp14:editId="574CA341">
            <wp:extent cx="2732642" cy="2192468"/>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pic:nvPicPr>
                  <pic:blipFill>
                    <a:blip r:embed="rId30">
                      <a:extLst>
                        <a:ext uri="{28A0092B-C50C-407E-A947-70E740481C1C}">
                          <a14:useLocalDpi xmlns:a14="http://schemas.microsoft.com/office/drawing/2010/main" val="0"/>
                        </a:ext>
                      </a:extLst>
                    </a:blip>
                    <a:stretch>
                      <a:fillRect/>
                    </a:stretch>
                  </pic:blipFill>
                  <pic:spPr>
                    <a:xfrm>
                      <a:off x="0" y="0"/>
                      <a:ext cx="2732642" cy="2192468"/>
                    </a:xfrm>
                    <a:prstGeom prst="rect">
                      <a:avLst/>
                    </a:prstGeom>
                  </pic:spPr>
                </pic:pic>
              </a:graphicData>
            </a:graphic>
          </wp:inline>
        </w:drawing>
      </w:r>
    </w:p>
    <w:p w14:paraId="78A0AB0C" w14:textId="40C18098" w:rsidR="00915904" w:rsidRDefault="00915904" w:rsidP="00915904">
      <w:pPr>
        <w:pStyle w:val="Caption"/>
        <w:jc w:val="left"/>
      </w:pPr>
      <w:bookmarkStart w:id="19" w:name="_Ref131610372"/>
      <w:r>
        <w:t xml:space="preserve">Figure </w:t>
      </w:r>
      <w:r w:rsidR="00F06485">
        <w:fldChar w:fldCharType="begin"/>
      </w:r>
      <w:r w:rsidR="00F06485">
        <w:instrText xml:space="preserve"> SEQ Figure \* ARABIC </w:instrText>
      </w:r>
      <w:r w:rsidR="00F06485">
        <w:fldChar w:fldCharType="separate"/>
      </w:r>
      <w:r w:rsidR="0087209C">
        <w:rPr>
          <w:noProof/>
        </w:rPr>
        <w:t>8</w:t>
      </w:r>
      <w:r w:rsidR="00F06485">
        <w:rPr>
          <w:noProof/>
        </w:rPr>
        <w:fldChar w:fldCharType="end"/>
      </w:r>
      <w:bookmarkEnd w:id="19"/>
      <w:r>
        <w:t>: Time-of-outage percentage in bi-directional deployment with DPS (L1-mobility): (left) in Tunnel; (right) in open space Scenario A.</w:t>
      </w:r>
    </w:p>
    <w:p w14:paraId="0193D223" w14:textId="58DB001A" w:rsidR="00E06C0F" w:rsidRPr="00E06C0F" w:rsidRDefault="00E06C0F" w:rsidP="00E06C0F">
      <w:r>
        <w:fldChar w:fldCharType="begin"/>
      </w:r>
      <w:r>
        <w:instrText xml:space="preserve"> REF _Ref131610533 \h </w:instrText>
      </w:r>
      <w:r>
        <w:fldChar w:fldCharType="separate"/>
      </w:r>
      <w:r w:rsidR="0087209C">
        <w:t xml:space="preserve">Figure </w:t>
      </w:r>
      <w:r w:rsidR="0087209C">
        <w:rPr>
          <w:noProof/>
        </w:rPr>
        <w:t>9</w:t>
      </w:r>
      <w:r>
        <w:fldChar w:fldCharType="end"/>
      </w:r>
      <w:r>
        <w:t xml:space="preserve"> shows beam failure indication rates per beam switches. Compared to </w:t>
      </w:r>
      <w:r w:rsidR="00713FBF">
        <w:t xml:space="preserve">when the train is travelling in the </w:t>
      </w:r>
      <w:r>
        <w:t xml:space="preserve">open space, the </w:t>
      </w:r>
      <w:r w:rsidR="00DD78DC">
        <w:t xml:space="preserve">beam failure rate is seen higher in the tunnel, and the failure occurs even without applying DRX. </w:t>
      </w:r>
      <w:r w:rsidR="00366AB4">
        <w:t xml:space="preserve">The higher beam failure rate, as well as the time-of-outage, can be understood due to the connection of the UE’s active panel to the beam pointing opposite to its moving direction. As such </w:t>
      </w:r>
      <w:r w:rsidR="00650EFE">
        <w:t>bi-directional deployment face</w:t>
      </w:r>
      <w:r w:rsidR="00727A12">
        <w:t>s</w:t>
      </w:r>
      <w:r w:rsidR="00650EFE">
        <w:t xml:space="preserve"> the same mobility issues</w:t>
      </w:r>
      <w:r w:rsidR="000B615F">
        <w:t>,</w:t>
      </w:r>
      <w:r w:rsidR="00650EFE">
        <w:t xml:space="preserve"> </w:t>
      </w:r>
      <w:r w:rsidR="00727A12">
        <w:t xml:space="preserve">although showing better mobility </w:t>
      </w:r>
      <w:r w:rsidR="000B615F">
        <w:t>performances,</w:t>
      </w:r>
      <w:r w:rsidR="00727A12">
        <w:t xml:space="preserve"> if comparing to </w:t>
      </w:r>
      <w:proofErr w:type="spellStart"/>
      <w:r w:rsidR="00727A12">
        <w:t>uni</w:t>
      </w:r>
      <w:proofErr w:type="spellEnd"/>
      <w:r w:rsidR="00727A12">
        <w:t>-directional “</w:t>
      </w:r>
      <w:proofErr w:type="spellStart"/>
      <w:r w:rsidR="00727A12">
        <w:t>Opp</w:t>
      </w:r>
      <w:proofErr w:type="spellEnd"/>
      <w:r w:rsidR="00727A12">
        <w:t>” deployment.</w:t>
      </w:r>
    </w:p>
    <w:p w14:paraId="46CEE26C" w14:textId="77777777" w:rsidR="00915904" w:rsidRDefault="00915904" w:rsidP="00915904">
      <w:r>
        <w:rPr>
          <w:noProof/>
        </w:rPr>
        <w:drawing>
          <wp:inline distT="0" distB="0" distL="0" distR="0" wp14:anchorId="006B4234" wp14:editId="5930E786">
            <wp:extent cx="2715031" cy="2164808"/>
            <wp:effectExtent l="0" t="0" r="9525" b="698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pic:nvPicPr>
                  <pic:blipFill>
                    <a:blip r:embed="rId31">
                      <a:extLst>
                        <a:ext uri="{28A0092B-C50C-407E-A947-70E740481C1C}">
                          <a14:useLocalDpi xmlns:a14="http://schemas.microsoft.com/office/drawing/2010/main" val="0"/>
                        </a:ext>
                      </a:extLst>
                    </a:blip>
                    <a:stretch>
                      <a:fillRect/>
                    </a:stretch>
                  </pic:blipFill>
                  <pic:spPr>
                    <a:xfrm>
                      <a:off x="0" y="0"/>
                      <a:ext cx="2715031" cy="2164808"/>
                    </a:xfrm>
                    <a:prstGeom prst="rect">
                      <a:avLst/>
                    </a:prstGeom>
                  </pic:spPr>
                </pic:pic>
              </a:graphicData>
            </a:graphic>
          </wp:inline>
        </w:drawing>
      </w:r>
      <w:r>
        <w:t xml:space="preserve">    </w:t>
      </w:r>
      <w:r>
        <w:rPr>
          <w:noProof/>
        </w:rPr>
        <w:drawing>
          <wp:inline distT="0" distB="0" distL="0" distR="0" wp14:anchorId="3B1263C6" wp14:editId="5704D656">
            <wp:extent cx="2732642" cy="2192468"/>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pic:nvPicPr>
                  <pic:blipFill>
                    <a:blip r:embed="rId32">
                      <a:extLst>
                        <a:ext uri="{28A0092B-C50C-407E-A947-70E740481C1C}">
                          <a14:useLocalDpi xmlns:a14="http://schemas.microsoft.com/office/drawing/2010/main" val="0"/>
                        </a:ext>
                      </a:extLst>
                    </a:blip>
                    <a:stretch>
                      <a:fillRect/>
                    </a:stretch>
                  </pic:blipFill>
                  <pic:spPr>
                    <a:xfrm>
                      <a:off x="0" y="0"/>
                      <a:ext cx="2732642" cy="2192468"/>
                    </a:xfrm>
                    <a:prstGeom prst="rect">
                      <a:avLst/>
                    </a:prstGeom>
                  </pic:spPr>
                </pic:pic>
              </a:graphicData>
            </a:graphic>
          </wp:inline>
        </w:drawing>
      </w:r>
    </w:p>
    <w:p w14:paraId="4B804CF5" w14:textId="16CECCB6" w:rsidR="00B80FED" w:rsidRPr="00915904" w:rsidRDefault="00915904" w:rsidP="00713FBF">
      <w:pPr>
        <w:pStyle w:val="Caption"/>
        <w:jc w:val="left"/>
      </w:pPr>
      <w:bookmarkStart w:id="20" w:name="_Ref131610533"/>
      <w:r>
        <w:lastRenderedPageBreak/>
        <w:t xml:space="preserve">Figure </w:t>
      </w:r>
      <w:r w:rsidR="00F06485">
        <w:fldChar w:fldCharType="begin"/>
      </w:r>
      <w:r w:rsidR="00F06485">
        <w:instrText xml:space="preserve"> SEQ Figure \* ARABIC </w:instrText>
      </w:r>
      <w:r w:rsidR="00F06485">
        <w:fldChar w:fldCharType="separate"/>
      </w:r>
      <w:r w:rsidR="0087209C">
        <w:rPr>
          <w:noProof/>
        </w:rPr>
        <w:t>9</w:t>
      </w:r>
      <w:r w:rsidR="00F06485">
        <w:rPr>
          <w:noProof/>
        </w:rPr>
        <w:fldChar w:fldCharType="end"/>
      </w:r>
      <w:bookmarkEnd w:id="20"/>
      <w:r>
        <w:t>: Beam failure indication rate in bi-directional deployment with DPS (L1-mobility): (left) in Tunnel; (right) in open space Scenario A</w:t>
      </w:r>
    </w:p>
    <w:p w14:paraId="445BF947" w14:textId="4C25D319" w:rsidR="00B80FED" w:rsidRDefault="00B80FED" w:rsidP="00B80FED">
      <w:pPr>
        <w:pStyle w:val="RAN4H3"/>
      </w:pPr>
      <w:r>
        <w:t>Result</w:t>
      </w:r>
      <w:r w:rsidR="00491276">
        <w:t>s</w:t>
      </w:r>
      <w:r>
        <w:t xml:space="preserve"> without DPS (L3-mobility)</w:t>
      </w:r>
    </w:p>
    <w:p w14:paraId="6220367A" w14:textId="657A742B" w:rsidR="00DD78DC" w:rsidRDefault="00DD78DC" w:rsidP="00DD78DC">
      <w:r>
        <w:t xml:space="preserve">This section presents the results without DPS scheme applied (HO-based mobility). </w:t>
      </w:r>
    </w:p>
    <w:p w14:paraId="0F4442AC" w14:textId="6778400D" w:rsidR="00C41A6B" w:rsidRDefault="00DC4C61" w:rsidP="00915904">
      <w:r>
        <w:fldChar w:fldCharType="begin"/>
      </w:r>
      <w:r>
        <w:instrText xml:space="preserve"> REF _Ref131610825 \h </w:instrText>
      </w:r>
      <w:r>
        <w:fldChar w:fldCharType="separate"/>
      </w:r>
      <w:r w:rsidR="0087209C">
        <w:t xml:space="preserve">Figure </w:t>
      </w:r>
      <w:r w:rsidR="0087209C">
        <w:rPr>
          <w:noProof/>
        </w:rPr>
        <w:t>10</w:t>
      </w:r>
      <w:r>
        <w:fldChar w:fldCharType="end"/>
      </w:r>
      <w:r w:rsidRPr="00DC4C61">
        <w:t xml:space="preserve"> </w:t>
      </w:r>
      <w:r>
        <w:t>shows beam handover rate per CPE per second</w:t>
      </w:r>
      <w:r w:rsidR="005F6C93">
        <w:t>,</w:t>
      </w:r>
      <w:r w:rsidR="00AA7D17">
        <w:t xml:space="preserve"> and </w:t>
      </w:r>
      <w:r w:rsidR="00AA7D17">
        <w:fldChar w:fldCharType="begin"/>
      </w:r>
      <w:r w:rsidR="00AA7D17">
        <w:instrText xml:space="preserve"> REF _Ref131611643 \h </w:instrText>
      </w:r>
      <w:r w:rsidR="00AA7D17">
        <w:fldChar w:fldCharType="separate"/>
      </w:r>
      <w:r w:rsidR="0087209C">
        <w:t xml:space="preserve">Figure </w:t>
      </w:r>
      <w:r w:rsidR="0087209C">
        <w:rPr>
          <w:noProof/>
        </w:rPr>
        <w:t>11</w:t>
      </w:r>
      <w:r w:rsidR="00AA7D17">
        <w:fldChar w:fldCharType="end"/>
      </w:r>
      <w:r w:rsidR="000B615F">
        <w:t xml:space="preserve"> shows</w:t>
      </w:r>
      <w:r w:rsidR="005F6C93">
        <w:t xml:space="preserve"> the ping-pong handover rate </w:t>
      </w:r>
      <w:r w:rsidR="000B615F">
        <w:t>(</w:t>
      </w:r>
      <w:r w:rsidR="005F6C93">
        <w:t xml:space="preserve">defined as handover happens </w:t>
      </w:r>
      <w:r w:rsidR="005F6C93" w:rsidRPr="00E47744">
        <w:t>back-and-forth between the two same base stations within 1 second</w:t>
      </w:r>
      <w:r w:rsidR="000B615F">
        <w:t>)</w:t>
      </w:r>
      <w:r w:rsidR="005F6C93">
        <w:t xml:space="preserve">. We observed that the handover and ping-pong rates </w:t>
      </w:r>
      <w:r w:rsidR="00366AB4">
        <w:t xml:space="preserve">slightly </w:t>
      </w:r>
      <w:r w:rsidR="005F6C93">
        <w:t xml:space="preserve">decrease </w:t>
      </w:r>
      <w:r w:rsidR="00713FBF">
        <w:t xml:space="preserve">compared to when travelling in open space. </w:t>
      </w:r>
    </w:p>
    <w:p w14:paraId="0F176B9F" w14:textId="69CE7B7C" w:rsidR="00C41A6B" w:rsidRDefault="00C41A6B" w:rsidP="00C41A6B">
      <w:bookmarkStart w:id="21" w:name="_Hlk131454509"/>
      <w:r>
        <w:rPr>
          <w:noProof/>
        </w:rPr>
        <w:drawing>
          <wp:inline distT="0" distB="0" distL="0" distR="0" wp14:anchorId="2A1EB686" wp14:editId="6D02EF49">
            <wp:extent cx="2715031" cy="240673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33">
                      <a:extLst>
                        <a:ext uri="{28A0092B-C50C-407E-A947-70E740481C1C}">
                          <a14:useLocalDpi xmlns:a14="http://schemas.microsoft.com/office/drawing/2010/main" val="0"/>
                        </a:ext>
                      </a:extLst>
                    </a:blip>
                    <a:stretch>
                      <a:fillRect/>
                    </a:stretch>
                  </pic:blipFill>
                  <pic:spPr>
                    <a:xfrm>
                      <a:off x="0" y="0"/>
                      <a:ext cx="2715031" cy="2406730"/>
                    </a:xfrm>
                    <a:prstGeom prst="rect">
                      <a:avLst/>
                    </a:prstGeom>
                  </pic:spPr>
                </pic:pic>
              </a:graphicData>
            </a:graphic>
          </wp:inline>
        </w:drawing>
      </w:r>
      <w:r>
        <w:t xml:space="preserve">    </w:t>
      </w:r>
      <w:r>
        <w:rPr>
          <w:noProof/>
        </w:rPr>
        <w:drawing>
          <wp:inline distT="0" distB="0" distL="0" distR="0" wp14:anchorId="5D1AB335" wp14:editId="6053885B">
            <wp:extent cx="2732642" cy="240673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pic:nvPicPr>
                  <pic:blipFill>
                    <a:blip r:embed="rId34">
                      <a:extLst>
                        <a:ext uri="{28A0092B-C50C-407E-A947-70E740481C1C}">
                          <a14:useLocalDpi xmlns:a14="http://schemas.microsoft.com/office/drawing/2010/main" val="0"/>
                        </a:ext>
                      </a:extLst>
                    </a:blip>
                    <a:stretch>
                      <a:fillRect/>
                    </a:stretch>
                  </pic:blipFill>
                  <pic:spPr>
                    <a:xfrm>
                      <a:off x="0" y="0"/>
                      <a:ext cx="2732642" cy="2406731"/>
                    </a:xfrm>
                    <a:prstGeom prst="rect">
                      <a:avLst/>
                    </a:prstGeom>
                  </pic:spPr>
                </pic:pic>
              </a:graphicData>
            </a:graphic>
          </wp:inline>
        </w:drawing>
      </w:r>
    </w:p>
    <w:p w14:paraId="108869D6" w14:textId="28006EAC" w:rsidR="00C41A6B" w:rsidRDefault="00C41A6B" w:rsidP="00C41A6B">
      <w:pPr>
        <w:pStyle w:val="Caption"/>
        <w:jc w:val="left"/>
      </w:pPr>
      <w:bookmarkStart w:id="22" w:name="_Ref131610825"/>
      <w:r>
        <w:t xml:space="preserve">Figure </w:t>
      </w:r>
      <w:r w:rsidR="00F06485">
        <w:fldChar w:fldCharType="begin"/>
      </w:r>
      <w:r w:rsidR="00F06485">
        <w:instrText xml:space="preserve"> SEQ Figure \* ARABIC </w:instrText>
      </w:r>
      <w:r w:rsidR="00F06485">
        <w:fldChar w:fldCharType="separate"/>
      </w:r>
      <w:r w:rsidR="0087209C">
        <w:rPr>
          <w:noProof/>
        </w:rPr>
        <w:t>10</w:t>
      </w:r>
      <w:r w:rsidR="00F06485">
        <w:rPr>
          <w:noProof/>
        </w:rPr>
        <w:fldChar w:fldCharType="end"/>
      </w:r>
      <w:bookmarkEnd w:id="22"/>
      <w:r>
        <w:t xml:space="preserve">: </w:t>
      </w:r>
      <w:r w:rsidR="00947AC0">
        <w:t>Handover rate in bi-directional deployment</w:t>
      </w:r>
      <w:r w:rsidR="00915904">
        <w:t xml:space="preserve"> without DPS (L3-mobility)</w:t>
      </w:r>
      <w:r w:rsidR="00947AC0">
        <w:t>: (left) in Tunnel; (right) in open space Scenario A</w:t>
      </w:r>
      <w:r>
        <w:t>.</w:t>
      </w:r>
    </w:p>
    <w:p w14:paraId="2BE1ECF9" w14:textId="523D1A6B" w:rsidR="00C41A6B" w:rsidRDefault="00C41A6B" w:rsidP="00C41A6B">
      <w:r>
        <w:rPr>
          <w:noProof/>
        </w:rPr>
        <w:drawing>
          <wp:inline distT="0" distB="0" distL="0" distR="0" wp14:anchorId="06EBA92A" wp14:editId="0CF5C92D">
            <wp:extent cx="2715031" cy="240673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35">
                      <a:extLst>
                        <a:ext uri="{28A0092B-C50C-407E-A947-70E740481C1C}">
                          <a14:useLocalDpi xmlns:a14="http://schemas.microsoft.com/office/drawing/2010/main" val="0"/>
                        </a:ext>
                      </a:extLst>
                    </a:blip>
                    <a:stretch>
                      <a:fillRect/>
                    </a:stretch>
                  </pic:blipFill>
                  <pic:spPr>
                    <a:xfrm>
                      <a:off x="0" y="0"/>
                      <a:ext cx="2715031" cy="2406730"/>
                    </a:xfrm>
                    <a:prstGeom prst="rect">
                      <a:avLst/>
                    </a:prstGeom>
                  </pic:spPr>
                </pic:pic>
              </a:graphicData>
            </a:graphic>
          </wp:inline>
        </w:drawing>
      </w:r>
      <w:r>
        <w:t xml:space="preserve">    </w:t>
      </w:r>
      <w:r>
        <w:rPr>
          <w:noProof/>
        </w:rPr>
        <w:drawing>
          <wp:inline distT="0" distB="0" distL="0" distR="0" wp14:anchorId="4459576D" wp14:editId="502CA078">
            <wp:extent cx="2732642" cy="2406731"/>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36">
                      <a:extLst>
                        <a:ext uri="{28A0092B-C50C-407E-A947-70E740481C1C}">
                          <a14:useLocalDpi xmlns:a14="http://schemas.microsoft.com/office/drawing/2010/main" val="0"/>
                        </a:ext>
                      </a:extLst>
                    </a:blip>
                    <a:stretch>
                      <a:fillRect/>
                    </a:stretch>
                  </pic:blipFill>
                  <pic:spPr>
                    <a:xfrm>
                      <a:off x="0" y="0"/>
                      <a:ext cx="2732642" cy="2406731"/>
                    </a:xfrm>
                    <a:prstGeom prst="rect">
                      <a:avLst/>
                    </a:prstGeom>
                  </pic:spPr>
                </pic:pic>
              </a:graphicData>
            </a:graphic>
          </wp:inline>
        </w:drawing>
      </w:r>
    </w:p>
    <w:p w14:paraId="154CD152" w14:textId="5B94EDD5" w:rsidR="00C41A6B" w:rsidRDefault="00C41A6B" w:rsidP="00C41A6B">
      <w:pPr>
        <w:pStyle w:val="Caption"/>
        <w:jc w:val="left"/>
      </w:pPr>
      <w:bookmarkStart w:id="23" w:name="_Ref131611643"/>
      <w:r>
        <w:t xml:space="preserve">Figure </w:t>
      </w:r>
      <w:r w:rsidR="00F06485">
        <w:fldChar w:fldCharType="begin"/>
      </w:r>
      <w:r w:rsidR="00F06485">
        <w:instrText xml:space="preserve"> SEQ Figure \* ARABIC </w:instrText>
      </w:r>
      <w:r w:rsidR="00F06485">
        <w:fldChar w:fldCharType="separate"/>
      </w:r>
      <w:r w:rsidR="0087209C">
        <w:rPr>
          <w:noProof/>
        </w:rPr>
        <w:t>11</w:t>
      </w:r>
      <w:r w:rsidR="00F06485">
        <w:rPr>
          <w:noProof/>
        </w:rPr>
        <w:fldChar w:fldCharType="end"/>
      </w:r>
      <w:bookmarkEnd w:id="23"/>
      <w:r>
        <w:t xml:space="preserve">: </w:t>
      </w:r>
      <w:r w:rsidR="00947AC0">
        <w:t>Ping-pong handover rate in bi-directional deployment</w:t>
      </w:r>
      <w:r w:rsidR="00915904">
        <w:t xml:space="preserve"> without DPS (L3-mobility)</w:t>
      </w:r>
      <w:r>
        <w:t xml:space="preserve">: (left) </w:t>
      </w:r>
      <w:r w:rsidR="00947AC0">
        <w:t>in Tunnel</w:t>
      </w:r>
      <w:r>
        <w:t>; (right)</w:t>
      </w:r>
      <w:r w:rsidR="00947AC0">
        <w:t xml:space="preserve"> in open space Scenario A.</w:t>
      </w:r>
    </w:p>
    <w:p w14:paraId="3DEA1492" w14:textId="1CCD76C2" w:rsidR="00C41A6B" w:rsidRDefault="005F6C93" w:rsidP="00713FBF">
      <w:r>
        <w:fldChar w:fldCharType="begin"/>
      </w:r>
      <w:r>
        <w:instrText xml:space="preserve"> REF _Ref131622837 \h </w:instrText>
      </w:r>
      <w:r>
        <w:fldChar w:fldCharType="separate"/>
      </w:r>
      <w:r w:rsidR="0087209C">
        <w:t xml:space="preserve">Figure </w:t>
      </w:r>
      <w:r w:rsidR="0087209C">
        <w:rPr>
          <w:noProof/>
        </w:rPr>
        <w:t>12</w:t>
      </w:r>
      <w:r>
        <w:fldChar w:fldCharType="end"/>
      </w:r>
      <w:r>
        <w:t xml:space="preserve"> shows time-of-outage rate and </w:t>
      </w:r>
      <w:r>
        <w:fldChar w:fldCharType="begin"/>
      </w:r>
      <w:r>
        <w:instrText xml:space="preserve"> REF _Ref131622846 \h </w:instrText>
      </w:r>
      <w:r>
        <w:fldChar w:fldCharType="separate"/>
      </w:r>
      <w:r w:rsidR="0087209C">
        <w:t xml:space="preserve">Figure </w:t>
      </w:r>
      <w:r w:rsidR="0087209C">
        <w:rPr>
          <w:noProof/>
        </w:rPr>
        <w:t>13</w:t>
      </w:r>
      <w:r>
        <w:fldChar w:fldCharType="end"/>
      </w:r>
      <w:r>
        <w:t xml:space="preserve"> shows inter-cell mobility </w:t>
      </w:r>
      <w:r w:rsidR="00713FBF">
        <w:t xml:space="preserve">failure rate (defined with formula (RLF+HOF)/(RLF+HOF+HO) * 100 [%]). As expected, time-of-outage and mobility failure rate are higher in the tunnel scenario. </w:t>
      </w:r>
      <w:r w:rsidR="00727A12">
        <w:t>Similar to DPS scheme, the mobility problem occurs when the UE’s active panel is moving opposite to its serving beam direction.</w:t>
      </w:r>
      <w:r w:rsidR="00F46757">
        <w:t xml:space="preserve"> If compared to the </w:t>
      </w:r>
      <w:proofErr w:type="spellStart"/>
      <w:r w:rsidR="00F46757">
        <w:t>uni</w:t>
      </w:r>
      <w:proofErr w:type="spellEnd"/>
      <w:r w:rsidR="00F46757">
        <w:t>-directional “</w:t>
      </w:r>
      <w:proofErr w:type="spellStart"/>
      <w:r w:rsidR="00F46757">
        <w:t>Opp</w:t>
      </w:r>
      <w:proofErr w:type="spellEnd"/>
      <w:r w:rsidR="00F46757">
        <w:t xml:space="preserve">” deployment, bi-directional setting improves the mobility performance. </w:t>
      </w:r>
    </w:p>
    <w:p w14:paraId="51E75ADE" w14:textId="77777777" w:rsidR="00C41A6B" w:rsidRDefault="00C41A6B" w:rsidP="00C41A6B">
      <w:r>
        <w:rPr>
          <w:noProof/>
        </w:rPr>
        <w:lastRenderedPageBreak/>
        <w:drawing>
          <wp:inline distT="0" distB="0" distL="0" distR="0" wp14:anchorId="0D5E7541" wp14:editId="69063EE4">
            <wp:extent cx="2715031" cy="2406731"/>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37">
                      <a:extLst>
                        <a:ext uri="{28A0092B-C50C-407E-A947-70E740481C1C}">
                          <a14:useLocalDpi xmlns:a14="http://schemas.microsoft.com/office/drawing/2010/main" val="0"/>
                        </a:ext>
                      </a:extLst>
                    </a:blip>
                    <a:stretch>
                      <a:fillRect/>
                    </a:stretch>
                  </pic:blipFill>
                  <pic:spPr>
                    <a:xfrm>
                      <a:off x="0" y="0"/>
                      <a:ext cx="2715031" cy="2406731"/>
                    </a:xfrm>
                    <a:prstGeom prst="rect">
                      <a:avLst/>
                    </a:prstGeom>
                  </pic:spPr>
                </pic:pic>
              </a:graphicData>
            </a:graphic>
          </wp:inline>
        </w:drawing>
      </w:r>
      <w:r>
        <w:t xml:space="preserve">    </w:t>
      </w:r>
      <w:r>
        <w:rPr>
          <w:noProof/>
        </w:rPr>
        <w:drawing>
          <wp:inline distT="0" distB="0" distL="0" distR="0" wp14:anchorId="4C155EB6" wp14:editId="49FB2E3B">
            <wp:extent cx="2732642" cy="2406731"/>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38">
                      <a:extLst>
                        <a:ext uri="{28A0092B-C50C-407E-A947-70E740481C1C}">
                          <a14:useLocalDpi xmlns:a14="http://schemas.microsoft.com/office/drawing/2010/main" val="0"/>
                        </a:ext>
                      </a:extLst>
                    </a:blip>
                    <a:stretch>
                      <a:fillRect/>
                    </a:stretch>
                  </pic:blipFill>
                  <pic:spPr>
                    <a:xfrm>
                      <a:off x="0" y="0"/>
                      <a:ext cx="2732642" cy="2406731"/>
                    </a:xfrm>
                    <a:prstGeom prst="rect">
                      <a:avLst/>
                    </a:prstGeom>
                  </pic:spPr>
                </pic:pic>
              </a:graphicData>
            </a:graphic>
          </wp:inline>
        </w:drawing>
      </w:r>
    </w:p>
    <w:p w14:paraId="3395D61C" w14:textId="5B9585C4" w:rsidR="00C41A6B" w:rsidRDefault="00C41A6B" w:rsidP="00C41A6B">
      <w:pPr>
        <w:pStyle w:val="Caption"/>
        <w:jc w:val="left"/>
      </w:pPr>
      <w:bookmarkStart w:id="24" w:name="_Ref131622837"/>
      <w:r>
        <w:t xml:space="preserve">Figure </w:t>
      </w:r>
      <w:r w:rsidR="00F06485">
        <w:fldChar w:fldCharType="begin"/>
      </w:r>
      <w:r w:rsidR="00F06485">
        <w:instrText xml:space="preserve"> SEQ Figure \* ARA</w:instrText>
      </w:r>
      <w:r w:rsidR="00F06485">
        <w:instrText xml:space="preserve">BIC </w:instrText>
      </w:r>
      <w:r w:rsidR="00F06485">
        <w:fldChar w:fldCharType="separate"/>
      </w:r>
      <w:r w:rsidR="0087209C">
        <w:rPr>
          <w:noProof/>
        </w:rPr>
        <w:t>12</w:t>
      </w:r>
      <w:r w:rsidR="00F06485">
        <w:rPr>
          <w:noProof/>
        </w:rPr>
        <w:fldChar w:fldCharType="end"/>
      </w:r>
      <w:bookmarkEnd w:id="24"/>
      <w:r>
        <w:t xml:space="preserve">: Time-of-outage percentage </w:t>
      </w:r>
      <w:r w:rsidR="00947AC0">
        <w:t>in bi-directional deployment</w:t>
      </w:r>
      <w:r w:rsidR="00915904">
        <w:t xml:space="preserve"> without DPS (L3-mobility)</w:t>
      </w:r>
      <w:r w:rsidR="00947AC0">
        <w:t>: (left) in Tunnel; (right) in open space Scenario A.</w:t>
      </w:r>
    </w:p>
    <w:p w14:paraId="1643B363" w14:textId="77777777" w:rsidR="00C41A6B" w:rsidRDefault="00C41A6B" w:rsidP="00C41A6B">
      <w:r>
        <w:rPr>
          <w:noProof/>
        </w:rPr>
        <w:drawing>
          <wp:inline distT="0" distB="0" distL="0" distR="0" wp14:anchorId="11AB63C4" wp14:editId="76BEE531">
            <wp:extent cx="2715031" cy="2406731"/>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pic:nvPicPr>
                  <pic:blipFill>
                    <a:blip r:embed="rId39">
                      <a:extLst>
                        <a:ext uri="{28A0092B-C50C-407E-A947-70E740481C1C}">
                          <a14:useLocalDpi xmlns:a14="http://schemas.microsoft.com/office/drawing/2010/main" val="0"/>
                        </a:ext>
                      </a:extLst>
                    </a:blip>
                    <a:stretch>
                      <a:fillRect/>
                    </a:stretch>
                  </pic:blipFill>
                  <pic:spPr>
                    <a:xfrm>
                      <a:off x="0" y="0"/>
                      <a:ext cx="2715031" cy="2406731"/>
                    </a:xfrm>
                    <a:prstGeom prst="rect">
                      <a:avLst/>
                    </a:prstGeom>
                  </pic:spPr>
                </pic:pic>
              </a:graphicData>
            </a:graphic>
          </wp:inline>
        </w:drawing>
      </w:r>
      <w:r>
        <w:t xml:space="preserve">    </w:t>
      </w:r>
      <w:r>
        <w:rPr>
          <w:noProof/>
        </w:rPr>
        <w:drawing>
          <wp:inline distT="0" distB="0" distL="0" distR="0" wp14:anchorId="7EDF9191" wp14:editId="59B4264A">
            <wp:extent cx="2732642" cy="2406731"/>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40">
                      <a:extLst>
                        <a:ext uri="{28A0092B-C50C-407E-A947-70E740481C1C}">
                          <a14:useLocalDpi xmlns:a14="http://schemas.microsoft.com/office/drawing/2010/main" val="0"/>
                        </a:ext>
                      </a:extLst>
                    </a:blip>
                    <a:stretch>
                      <a:fillRect/>
                    </a:stretch>
                  </pic:blipFill>
                  <pic:spPr>
                    <a:xfrm>
                      <a:off x="0" y="0"/>
                      <a:ext cx="2732642" cy="2406731"/>
                    </a:xfrm>
                    <a:prstGeom prst="rect">
                      <a:avLst/>
                    </a:prstGeom>
                  </pic:spPr>
                </pic:pic>
              </a:graphicData>
            </a:graphic>
          </wp:inline>
        </w:drawing>
      </w:r>
    </w:p>
    <w:p w14:paraId="45451B30" w14:textId="7ADC2C41" w:rsidR="00713FBF" w:rsidRPr="00BA2C2F" w:rsidRDefault="00C41A6B" w:rsidP="00366AB4">
      <w:pPr>
        <w:pStyle w:val="Caption"/>
        <w:jc w:val="left"/>
      </w:pPr>
      <w:bookmarkStart w:id="25" w:name="_Ref131622846"/>
      <w:r>
        <w:t xml:space="preserve">Figure </w:t>
      </w:r>
      <w:r w:rsidR="00F06485">
        <w:fldChar w:fldCharType="begin"/>
      </w:r>
      <w:r w:rsidR="00F06485">
        <w:instrText xml:space="preserve"> SEQ Figure \* ARABIC </w:instrText>
      </w:r>
      <w:r w:rsidR="00F06485">
        <w:fldChar w:fldCharType="separate"/>
      </w:r>
      <w:r w:rsidR="0087209C">
        <w:rPr>
          <w:noProof/>
        </w:rPr>
        <w:t>13</w:t>
      </w:r>
      <w:r w:rsidR="00F06485">
        <w:rPr>
          <w:noProof/>
        </w:rPr>
        <w:fldChar w:fldCharType="end"/>
      </w:r>
      <w:bookmarkEnd w:id="25"/>
      <w:r>
        <w:t xml:space="preserve">: Inter-cell mobility failure rate </w:t>
      </w:r>
      <w:r w:rsidR="00947AC0">
        <w:t>in bi-directional deployment</w:t>
      </w:r>
      <w:r w:rsidR="00915904">
        <w:t xml:space="preserve"> without DPS (L3-mobility)</w:t>
      </w:r>
      <w:r w:rsidR="00947AC0">
        <w:t>: (left) in Tunnel; (right) in open space Scenario A</w:t>
      </w:r>
      <w:bookmarkEnd w:id="21"/>
    </w:p>
    <w:p w14:paraId="154594B9" w14:textId="51253E72" w:rsidR="00B80FED" w:rsidRDefault="00BA2C2F" w:rsidP="00BA2C2F">
      <w:pPr>
        <w:pStyle w:val="RAN4observation0"/>
      </w:pPr>
      <w:bookmarkStart w:id="26" w:name="_Toc131705485"/>
      <w:r>
        <w:t xml:space="preserve">Bi-directional deployment with single panel reception in tunnel scenario improve mobility performance but cannot </w:t>
      </w:r>
      <w:r w:rsidR="000B615F">
        <w:t>completely solve</w:t>
      </w:r>
      <w:r>
        <w:t xml:space="preserve"> the mobility issues </w:t>
      </w:r>
      <w:r w:rsidR="00366AB4">
        <w:t xml:space="preserve">in </w:t>
      </w:r>
      <w:proofErr w:type="spellStart"/>
      <w:r w:rsidR="00366AB4">
        <w:t>uni</w:t>
      </w:r>
      <w:proofErr w:type="spellEnd"/>
      <w:r w:rsidR="00366AB4">
        <w:t>-direction deployment when the train</w:t>
      </w:r>
      <w:r>
        <w:t xml:space="preserve"> </w:t>
      </w:r>
      <w:r w:rsidR="00744B84">
        <w:rPr>
          <w:lang w:val="en-150"/>
        </w:rPr>
        <w:t>is travelling</w:t>
      </w:r>
      <w:r>
        <w:t xml:space="preserve"> opposite to serving beam direction</w:t>
      </w:r>
      <w:r w:rsidR="00366AB4">
        <w:t>,</w:t>
      </w:r>
      <w:r>
        <w:t xml:space="preserve"> while inheriting </w:t>
      </w:r>
      <w:r w:rsidR="002634FC">
        <w:rPr>
          <w:lang w:val="en-150"/>
        </w:rPr>
        <w:t>similar</w:t>
      </w:r>
      <w:r>
        <w:t xml:space="preserve"> ping-pong and HO </w:t>
      </w:r>
      <w:r w:rsidR="002634FC">
        <w:rPr>
          <w:lang w:val="en-150"/>
        </w:rPr>
        <w:t>frequency</w:t>
      </w:r>
      <w:r w:rsidR="000B615F">
        <w:t xml:space="preserve"> behaviours </w:t>
      </w:r>
      <w:r>
        <w:t>as in open space.</w:t>
      </w:r>
      <w:bookmarkEnd w:id="26"/>
    </w:p>
    <w:p w14:paraId="4A00C04F" w14:textId="77777777" w:rsidR="00744B84" w:rsidRPr="00744B84" w:rsidRDefault="00744B84" w:rsidP="00744B84">
      <w:pPr>
        <w:rPr>
          <w:lang w:val="en-GB"/>
        </w:rPr>
      </w:pPr>
    </w:p>
    <w:p w14:paraId="75CA532B" w14:textId="1D98F5DC" w:rsidR="009A4647" w:rsidRDefault="009A4647" w:rsidP="009A4647">
      <w:pPr>
        <w:pStyle w:val="RAN4H2"/>
      </w:pPr>
      <w:r>
        <w:t xml:space="preserve">Mobility performances for </w:t>
      </w:r>
      <w:proofErr w:type="spellStart"/>
      <w:r>
        <w:t>uni</w:t>
      </w:r>
      <w:proofErr w:type="spellEnd"/>
      <w:r>
        <w:t xml:space="preserve">-directional deployment using </w:t>
      </w:r>
      <w:r w:rsidR="000D45CF">
        <w:t>conditional HO</w:t>
      </w:r>
    </w:p>
    <w:p w14:paraId="3B0A2E70" w14:textId="0CA10D7E" w:rsidR="009D7653" w:rsidRPr="00421094" w:rsidRDefault="009D7653" w:rsidP="009D7653">
      <w:r>
        <w:t xml:space="preserve">RAN4#106 agreed on the understanding </w:t>
      </w:r>
      <w:r w:rsidR="00DB4115">
        <w:t>about the mobility issue observed</w:t>
      </w:r>
      <w:r>
        <w:t xml:space="preserve"> in </w:t>
      </w:r>
      <w:proofErr w:type="spellStart"/>
      <w:r>
        <w:t>uni</w:t>
      </w:r>
      <w:proofErr w:type="spellEnd"/>
      <w:r>
        <w:t>-directional deployment inside the tunnel</w:t>
      </w:r>
      <w:r w:rsidR="00DB4115">
        <w:t xml:space="preserve">, and one </w:t>
      </w:r>
      <w:r>
        <w:t>of candidate solution</w:t>
      </w:r>
      <w:r w:rsidR="00DB4115">
        <w:t>s</w:t>
      </w:r>
      <w:r>
        <w:t xml:space="preserve"> is to allow the network trigger early handover </w:t>
      </w:r>
      <w:r>
        <w:fldChar w:fldCharType="begin"/>
      </w:r>
      <w:r>
        <w:instrText xml:space="preserve"> REF _Ref131609376 \r \h </w:instrText>
      </w:r>
      <w:r>
        <w:fldChar w:fldCharType="separate"/>
      </w:r>
      <w:r w:rsidR="0087209C">
        <w:t>[6]</w:t>
      </w:r>
      <w:r>
        <w:fldChar w:fldCharType="end"/>
      </w:r>
    </w:p>
    <w:tbl>
      <w:tblPr>
        <w:tblStyle w:val="TableGrid1"/>
        <w:tblW w:w="0" w:type="auto"/>
        <w:jc w:val="center"/>
        <w:tblInd w:w="0" w:type="dxa"/>
        <w:tblLook w:val="04A0" w:firstRow="1" w:lastRow="0" w:firstColumn="1" w:lastColumn="0" w:noHBand="0" w:noVBand="1"/>
      </w:tblPr>
      <w:tblGrid>
        <w:gridCol w:w="9000"/>
      </w:tblGrid>
      <w:tr w:rsidR="009D7653" w14:paraId="1C119BC0" w14:textId="77777777" w:rsidTr="0030786E">
        <w:trPr>
          <w:jc w:val="center"/>
        </w:trPr>
        <w:tc>
          <w:tcPr>
            <w:tcW w:w="9000" w:type="dxa"/>
            <w:tcBorders>
              <w:top w:val="single" w:sz="4" w:space="0" w:color="auto"/>
              <w:left w:val="single" w:sz="4" w:space="0" w:color="auto"/>
              <w:bottom w:val="single" w:sz="4" w:space="0" w:color="auto"/>
              <w:right w:val="single" w:sz="4" w:space="0" w:color="auto"/>
            </w:tcBorders>
            <w:hideMark/>
          </w:tcPr>
          <w:p w14:paraId="10A44785" w14:textId="77777777" w:rsidR="009D7653" w:rsidRPr="000F6C45" w:rsidRDefault="009D7653" w:rsidP="0030786E">
            <w:pPr>
              <w:spacing w:after="255" w:line="254" w:lineRule="auto"/>
              <w:contextualSpacing/>
              <w:rPr>
                <w:b/>
                <w:bCs/>
              </w:rPr>
            </w:pPr>
            <w:r w:rsidRPr="000F6C45">
              <w:rPr>
                <w:b/>
                <w:bCs/>
              </w:rPr>
              <w:t>Agreement:</w:t>
            </w:r>
          </w:p>
          <w:p w14:paraId="09588213" w14:textId="77777777" w:rsidR="009D7653" w:rsidRPr="000F6C45" w:rsidRDefault="009D7653" w:rsidP="009D7653">
            <w:pPr>
              <w:numPr>
                <w:ilvl w:val="0"/>
                <w:numId w:val="48"/>
              </w:numPr>
              <w:spacing w:after="255" w:line="254" w:lineRule="auto"/>
              <w:contextualSpacing/>
            </w:pPr>
            <w:r w:rsidRPr="000F6C45">
              <w:t>Mobility issue at HO/beam switch when CPE is travelling in the direction opposite to the serving beam is observed due to the sharp drop of the signal strength at the edge of the beam next to the RRH.</w:t>
            </w:r>
          </w:p>
          <w:p w14:paraId="2382D4B1" w14:textId="77777777" w:rsidR="009D7653" w:rsidRDefault="009D7653" w:rsidP="0030786E">
            <w:pPr>
              <w:rPr>
                <w:b/>
                <w:bCs/>
                <w:lang w:eastAsia="zh-CN"/>
              </w:rPr>
            </w:pPr>
          </w:p>
          <w:p w14:paraId="6D265035" w14:textId="77777777" w:rsidR="009D7653" w:rsidRPr="004F0E65" w:rsidRDefault="009D7653" w:rsidP="0030786E">
            <w:pPr>
              <w:rPr>
                <w:b/>
                <w:bCs/>
                <w:lang w:eastAsia="zh-CN"/>
              </w:rPr>
            </w:pPr>
            <w:r w:rsidRPr="004F0E65">
              <w:rPr>
                <w:b/>
                <w:bCs/>
                <w:lang w:eastAsia="zh-CN"/>
              </w:rPr>
              <w:t>Way forward:</w:t>
            </w:r>
          </w:p>
          <w:p w14:paraId="71DFED26" w14:textId="77777777" w:rsidR="009D7653" w:rsidRDefault="009D7653" w:rsidP="009D7653">
            <w:pPr>
              <w:pStyle w:val="ListParagraph"/>
              <w:numPr>
                <w:ilvl w:val="0"/>
                <w:numId w:val="30"/>
              </w:numPr>
              <w:spacing w:after="180"/>
              <w:contextualSpacing w:val="0"/>
            </w:pPr>
            <w:r>
              <w:t>Consider possible solutions to the mobility issue:</w:t>
            </w:r>
          </w:p>
          <w:p w14:paraId="3699BA39" w14:textId="77777777" w:rsidR="009D7653" w:rsidRPr="004F0E65" w:rsidRDefault="009D7653" w:rsidP="009D7653">
            <w:pPr>
              <w:pStyle w:val="ListParagraph"/>
              <w:numPr>
                <w:ilvl w:val="1"/>
                <w:numId w:val="30"/>
              </w:numPr>
              <w:spacing w:after="180"/>
              <w:contextualSpacing w:val="0"/>
            </w:pPr>
            <w:r w:rsidRPr="004F0E65">
              <w:lastRenderedPageBreak/>
              <w:t>Option 2: Solutions that allow network to trigger early handover</w:t>
            </w:r>
          </w:p>
          <w:p w14:paraId="0554AA30" w14:textId="2D2C29B9" w:rsidR="009D7653" w:rsidRPr="009D7653" w:rsidRDefault="009D7653" w:rsidP="009D7653">
            <w:pPr>
              <w:pStyle w:val="ListParagraph"/>
              <w:numPr>
                <w:ilvl w:val="2"/>
                <w:numId w:val="30"/>
              </w:numPr>
              <w:spacing w:after="180"/>
              <w:contextualSpacing w:val="0"/>
            </w:pPr>
            <w:r w:rsidRPr="004F0E65">
              <w:t xml:space="preserve">Option 2a: </w:t>
            </w:r>
            <w:r>
              <w:t>Enabling</w:t>
            </w:r>
            <w:r w:rsidRPr="004F0E65">
              <w:t xml:space="preserve"> CHO with special settings next to the RRH</w:t>
            </w:r>
          </w:p>
        </w:tc>
      </w:tr>
    </w:tbl>
    <w:p w14:paraId="0F9DFD46" w14:textId="77777777" w:rsidR="009D7653" w:rsidRDefault="009D7653" w:rsidP="009949A2"/>
    <w:p w14:paraId="1CF3C509" w14:textId="2C96BDF2" w:rsidR="00FD5FB5" w:rsidRDefault="00DB4115" w:rsidP="009949A2">
      <w:r>
        <w:t>To gain insights on the potential performance provided by Option 2a, we carry out the system level simulation performing the CHO</w:t>
      </w:r>
      <w:r w:rsidR="00851110">
        <w:t xml:space="preserve"> while</w:t>
      </w:r>
      <w:r>
        <w:t xml:space="preserve"> taking into account the triggering based on the distance between CPE and </w:t>
      </w:r>
      <w:r w:rsidR="00895218">
        <w:t>source RRH</w:t>
      </w:r>
      <w:r>
        <w:t>.</w:t>
      </w:r>
      <w:r w:rsidR="00895218">
        <w:t xml:space="preserve"> In particular, </w:t>
      </w:r>
      <w:r w:rsidR="00FD5FB5">
        <w:t xml:space="preserve">we consider the same simulation setting for </w:t>
      </w:r>
      <w:proofErr w:type="spellStart"/>
      <w:proofErr w:type="gramStart"/>
      <w:r w:rsidR="00FD5FB5">
        <w:t>uni</w:t>
      </w:r>
      <w:proofErr w:type="spellEnd"/>
      <w:r w:rsidR="00FD5FB5">
        <w:t>-directional</w:t>
      </w:r>
      <w:proofErr w:type="gramEnd"/>
      <w:r w:rsidR="00FD5FB5">
        <w:t xml:space="preserve"> “Opposite” deployment in tunnel as done previously </w:t>
      </w:r>
      <w:r w:rsidR="00FD5FB5">
        <w:fldChar w:fldCharType="begin"/>
      </w:r>
      <w:r w:rsidR="00FD5FB5">
        <w:instrText xml:space="preserve"> REF _Ref131626189 \r \h </w:instrText>
      </w:r>
      <w:r w:rsidR="00FD5FB5">
        <w:fldChar w:fldCharType="separate"/>
      </w:r>
      <w:r w:rsidR="0087209C">
        <w:t>[7]</w:t>
      </w:r>
      <w:r w:rsidR="00FD5FB5">
        <w:fldChar w:fldCharType="end"/>
      </w:r>
      <w:r w:rsidR="00FD5FB5">
        <w:t xml:space="preserve">, except that </w:t>
      </w:r>
      <w:r w:rsidR="00895218">
        <w:t xml:space="preserve">the </w:t>
      </w:r>
      <w:r w:rsidR="00FD5FB5">
        <w:t xml:space="preserve">setting for conventional HO is replaced by a more aggressive one, i.e., </w:t>
      </w:r>
      <w:r w:rsidR="00C34B48">
        <w:t xml:space="preserve">the </w:t>
      </w:r>
      <w:r w:rsidR="00FD5FB5">
        <w:t xml:space="preserve">condition for executing the HO is </w:t>
      </w:r>
    </w:p>
    <w:p w14:paraId="566E5A00" w14:textId="596B9B69" w:rsidR="00DB4115" w:rsidRDefault="00FD5FB5" w:rsidP="009949A2">
      <w:proofErr w:type="spellStart"/>
      <w:r w:rsidRPr="00FD5FB5">
        <w:rPr>
          <w:i/>
          <w:iCs/>
        </w:rPr>
        <w:t>targert_RRH_RSRP</w:t>
      </w:r>
      <w:proofErr w:type="spellEnd"/>
      <w:r w:rsidRPr="00FD5FB5">
        <w:rPr>
          <w:i/>
          <w:iCs/>
        </w:rPr>
        <w:t xml:space="preserve"> </w:t>
      </w:r>
      <w:r>
        <w:rPr>
          <w:i/>
          <w:iCs/>
        </w:rPr>
        <w:t xml:space="preserve">&gt; </w:t>
      </w:r>
      <w:proofErr w:type="spellStart"/>
      <w:r w:rsidRPr="00FD5FB5">
        <w:rPr>
          <w:i/>
          <w:iCs/>
        </w:rPr>
        <w:t>serving_RRH_RSRP</w:t>
      </w:r>
      <w:proofErr w:type="spellEnd"/>
      <w:r>
        <w:t xml:space="preserve"> + </w:t>
      </w:r>
      <w:proofErr w:type="spellStart"/>
      <w:r w:rsidRPr="00FD5FB5">
        <w:rPr>
          <w:i/>
          <w:iCs/>
        </w:rPr>
        <w:t>aggressive_RSRP_threshold</w:t>
      </w:r>
      <w:proofErr w:type="spellEnd"/>
    </w:p>
    <w:p w14:paraId="4B5E24D9" w14:textId="5E8190FE" w:rsidR="002A6430" w:rsidRDefault="00FD5FB5" w:rsidP="00742B89">
      <w:r>
        <w:t xml:space="preserve">where </w:t>
      </w:r>
      <w:proofErr w:type="spellStart"/>
      <w:r w:rsidRPr="00FD5FB5">
        <w:rPr>
          <w:i/>
          <w:iCs/>
        </w:rPr>
        <w:t>aggressive_RSRP_threshold</w:t>
      </w:r>
      <w:proofErr w:type="spellEnd"/>
      <w:r>
        <w:rPr>
          <w:i/>
          <w:iCs/>
        </w:rPr>
        <w:t xml:space="preserve"> </w:t>
      </w:r>
      <w:r>
        <w:t xml:space="preserve">is </w:t>
      </w:r>
      <w:r w:rsidR="002A6430">
        <w:t xml:space="preserve">-40dB in the simulation which is chosen according to </w:t>
      </w:r>
      <w:r w:rsidR="00C34B48">
        <w:t xml:space="preserve">the </w:t>
      </w:r>
      <w:r w:rsidR="002A6430">
        <w:t>RSRP trace.</w:t>
      </w:r>
      <w:r>
        <w:t xml:space="preserve"> Furthermore, the HO condition is checked only if the CPE is less than </w:t>
      </w:r>
      <w:proofErr w:type="spellStart"/>
      <w:r>
        <w:t>than</w:t>
      </w:r>
      <w:proofErr w:type="spellEnd"/>
      <w:r>
        <w:t xml:space="preserve"> </w:t>
      </w:r>
      <w:proofErr w:type="spellStart"/>
      <w:r w:rsidRPr="00FD5FB5">
        <w:rPr>
          <w:i/>
          <w:iCs/>
        </w:rPr>
        <w:t>DistToCondHO</w:t>
      </w:r>
      <w:proofErr w:type="spellEnd"/>
      <w:r>
        <w:t xml:space="preserve"> [m] from serving RRH.</w:t>
      </w:r>
    </w:p>
    <w:p w14:paraId="3F508AF3" w14:textId="21D6CBA8" w:rsidR="002A6430" w:rsidRDefault="002A6430" w:rsidP="00742B89">
      <w:r>
        <w:fldChar w:fldCharType="begin"/>
      </w:r>
      <w:r>
        <w:instrText xml:space="preserve"> REF _Ref131627082 \h </w:instrText>
      </w:r>
      <w:r>
        <w:fldChar w:fldCharType="separate"/>
      </w:r>
      <w:r w:rsidR="0087209C">
        <w:t xml:space="preserve">Figure </w:t>
      </w:r>
      <w:r w:rsidR="0087209C">
        <w:rPr>
          <w:noProof/>
        </w:rPr>
        <w:t>14</w:t>
      </w:r>
      <w:r>
        <w:fldChar w:fldCharType="end"/>
      </w:r>
      <w:r>
        <w:t xml:space="preserve"> shows the successful handover rate and ping-pong handover rate. We can observe that shorter HO triggering distance</w:t>
      </w:r>
      <w:r w:rsidR="00C34B48">
        <w:t xml:space="preserve"> (</w:t>
      </w:r>
      <w:proofErr w:type="spellStart"/>
      <w:r w:rsidR="00C34B48" w:rsidRPr="00FD5FB5">
        <w:rPr>
          <w:i/>
          <w:iCs/>
        </w:rPr>
        <w:t>DistToCondHO</w:t>
      </w:r>
      <w:proofErr w:type="spellEnd"/>
      <w:r w:rsidR="00C34B48">
        <w:t>)</w:t>
      </w:r>
      <w:r>
        <w:t xml:space="preserve"> results in lower handover rate and ping-pong rate.</w:t>
      </w:r>
    </w:p>
    <w:p w14:paraId="48892B33" w14:textId="7CDD2840" w:rsidR="00742B89" w:rsidRDefault="00742B89" w:rsidP="00742B89">
      <w:r>
        <w:rPr>
          <w:noProof/>
        </w:rPr>
        <w:drawing>
          <wp:inline distT="0" distB="0" distL="0" distR="0" wp14:anchorId="4892FDC1" wp14:editId="1638CD46">
            <wp:extent cx="2695736" cy="240673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pic:nvPicPr>
                  <pic:blipFill>
                    <a:blip r:embed="rId41">
                      <a:extLst>
                        <a:ext uri="{28A0092B-C50C-407E-A947-70E740481C1C}">
                          <a14:useLocalDpi xmlns:a14="http://schemas.microsoft.com/office/drawing/2010/main" val="0"/>
                        </a:ext>
                      </a:extLst>
                    </a:blip>
                    <a:stretch>
                      <a:fillRect/>
                    </a:stretch>
                  </pic:blipFill>
                  <pic:spPr>
                    <a:xfrm>
                      <a:off x="0" y="0"/>
                      <a:ext cx="2695736" cy="2406730"/>
                    </a:xfrm>
                    <a:prstGeom prst="rect">
                      <a:avLst/>
                    </a:prstGeom>
                  </pic:spPr>
                </pic:pic>
              </a:graphicData>
            </a:graphic>
          </wp:inline>
        </w:drawing>
      </w:r>
      <w:r>
        <w:t xml:space="preserve">    </w:t>
      </w:r>
      <w:r>
        <w:rPr>
          <w:noProof/>
        </w:rPr>
        <w:drawing>
          <wp:inline distT="0" distB="0" distL="0" distR="0" wp14:anchorId="6E40EA28" wp14:editId="2C45BBF3">
            <wp:extent cx="2695737" cy="2406731"/>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42">
                      <a:extLst>
                        <a:ext uri="{28A0092B-C50C-407E-A947-70E740481C1C}">
                          <a14:useLocalDpi xmlns:a14="http://schemas.microsoft.com/office/drawing/2010/main" val="0"/>
                        </a:ext>
                      </a:extLst>
                    </a:blip>
                    <a:stretch>
                      <a:fillRect/>
                    </a:stretch>
                  </pic:blipFill>
                  <pic:spPr>
                    <a:xfrm>
                      <a:off x="0" y="0"/>
                      <a:ext cx="2695737" cy="2406731"/>
                    </a:xfrm>
                    <a:prstGeom prst="rect">
                      <a:avLst/>
                    </a:prstGeom>
                  </pic:spPr>
                </pic:pic>
              </a:graphicData>
            </a:graphic>
          </wp:inline>
        </w:drawing>
      </w:r>
    </w:p>
    <w:p w14:paraId="514B15DF" w14:textId="51DB0B65" w:rsidR="00742B89" w:rsidRDefault="00742B89" w:rsidP="00742B89">
      <w:pPr>
        <w:pStyle w:val="Caption"/>
        <w:jc w:val="left"/>
      </w:pPr>
      <w:bookmarkStart w:id="27" w:name="_Ref131627082"/>
      <w:r>
        <w:t xml:space="preserve">Figure </w:t>
      </w:r>
      <w:r w:rsidR="00F06485">
        <w:fldChar w:fldCharType="begin"/>
      </w:r>
      <w:r w:rsidR="00F06485">
        <w:instrText xml:space="preserve"> SEQ Figure \* ARABIC </w:instrText>
      </w:r>
      <w:r w:rsidR="00F06485">
        <w:fldChar w:fldCharType="separate"/>
      </w:r>
      <w:r w:rsidR="0087209C">
        <w:rPr>
          <w:noProof/>
        </w:rPr>
        <w:t>14</w:t>
      </w:r>
      <w:r w:rsidR="00F06485">
        <w:rPr>
          <w:noProof/>
        </w:rPr>
        <w:fldChar w:fldCharType="end"/>
      </w:r>
      <w:bookmarkEnd w:id="27"/>
      <w:r>
        <w:t xml:space="preserve">: Handover and ping-pong rate with early HO triggered in tunnel </w:t>
      </w:r>
      <w:proofErr w:type="spellStart"/>
      <w:r>
        <w:t>uni</w:t>
      </w:r>
      <w:proofErr w:type="spellEnd"/>
      <w:r>
        <w:t>-directional</w:t>
      </w:r>
      <w:r w:rsidR="002A6430">
        <w:t xml:space="preserve"> “Opposite”</w:t>
      </w:r>
      <w:r>
        <w:t xml:space="preserve"> deployment: (left) Handover rate; (right) ping-pong handover rate.</w:t>
      </w:r>
    </w:p>
    <w:p w14:paraId="5F58E58E" w14:textId="429E9466" w:rsidR="009F666A" w:rsidRPr="009F666A" w:rsidRDefault="009F666A" w:rsidP="009F666A">
      <w:r>
        <w:fldChar w:fldCharType="begin"/>
      </w:r>
      <w:r>
        <w:instrText xml:space="preserve"> REF _Ref131627549 \h </w:instrText>
      </w:r>
      <w:r>
        <w:fldChar w:fldCharType="separate"/>
      </w:r>
      <w:r w:rsidR="0087209C">
        <w:t xml:space="preserve">Figure </w:t>
      </w:r>
      <w:r w:rsidR="0087209C">
        <w:rPr>
          <w:noProof/>
        </w:rPr>
        <w:t>15</w:t>
      </w:r>
      <w:r>
        <w:fldChar w:fldCharType="end"/>
      </w:r>
      <w:r>
        <w:t xml:space="preserve"> shows the time time-of-outage and inter-cell mobility failure rate. It is seen that </w:t>
      </w:r>
      <w:proofErr w:type="spellStart"/>
      <w:r w:rsidRPr="00FD5FB5">
        <w:rPr>
          <w:i/>
          <w:iCs/>
        </w:rPr>
        <w:t>DistToCondHO</w:t>
      </w:r>
      <w:proofErr w:type="spellEnd"/>
      <w:r>
        <w:rPr>
          <w:i/>
          <w:iCs/>
        </w:rPr>
        <w:t xml:space="preserve">=30 </w:t>
      </w:r>
      <w:r>
        <w:t xml:space="preserve">is optimum for resolving the high outage and mobility failure rate inside the tunnel. Higher or lower </w:t>
      </w:r>
      <w:proofErr w:type="spellStart"/>
      <w:r w:rsidRPr="00FD5FB5">
        <w:rPr>
          <w:i/>
          <w:iCs/>
        </w:rPr>
        <w:t>DistToCondHO</w:t>
      </w:r>
      <w:proofErr w:type="spellEnd"/>
      <w:r>
        <w:rPr>
          <w:i/>
          <w:iCs/>
        </w:rPr>
        <w:t xml:space="preserve"> </w:t>
      </w:r>
      <w:r>
        <w:t>either is not sufficient to suppress the mobility problem or suffer</w:t>
      </w:r>
      <w:r w:rsidR="008203F7">
        <w:t>s</w:t>
      </w:r>
      <w:r>
        <w:t xml:space="preserve"> higher failure/outage rate with high DRX setting. </w:t>
      </w:r>
    </w:p>
    <w:p w14:paraId="57BA0CFC" w14:textId="77777777" w:rsidR="00742B89" w:rsidRDefault="00742B89" w:rsidP="00742B89">
      <w:r>
        <w:rPr>
          <w:noProof/>
        </w:rPr>
        <w:drawing>
          <wp:inline distT="0" distB="0" distL="0" distR="0" wp14:anchorId="322900B4" wp14:editId="118CF46E">
            <wp:extent cx="2695736" cy="2406729"/>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43">
                      <a:extLst>
                        <a:ext uri="{28A0092B-C50C-407E-A947-70E740481C1C}">
                          <a14:useLocalDpi xmlns:a14="http://schemas.microsoft.com/office/drawing/2010/main" val="0"/>
                        </a:ext>
                      </a:extLst>
                    </a:blip>
                    <a:stretch>
                      <a:fillRect/>
                    </a:stretch>
                  </pic:blipFill>
                  <pic:spPr>
                    <a:xfrm>
                      <a:off x="0" y="0"/>
                      <a:ext cx="2695736" cy="2406729"/>
                    </a:xfrm>
                    <a:prstGeom prst="rect">
                      <a:avLst/>
                    </a:prstGeom>
                  </pic:spPr>
                </pic:pic>
              </a:graphicData>
            </a:graphic>
          </wp:inline>
        </w:drawing>
      </w:r>
      <w:r>
        <w:t xml:space="preserve">    </w:t>
      </w:r>
      <w:r>
        <w:rPr>
          <w:noProof/>
        </w:rPr>
        <w:drawing>
          <wp:inline distT="0" distB="0" distL="0" distR="0" wp14:anchorId="07D41E56" wp14:editId="2DFCDBCD">
            <wp:extent cx="2695737" cy="240673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44">
                      <a:extLst>
                        <a:ext uri="{28A0092B-C50C-407E-A947-70E740481C1C}">
                          <a14:useLocalDpi xmlns:a14="http://schemas.microsoft.com/office/drawing/2010/main" val="0"/>
                        </a:ext>
                      </a:extLst>
                    </a:blip>
                    <a:stretch>
                      <a:fillRect/>
                    </a:stretch>
                  </pic:blipFill>
                  <pic:spPr>
                    <a:xfrm>
                      <a:off x="0" y="0"/>
                      <a:ext cx="2695737" cy="2406730"/>
                    </a:xfrm>
                    <a:prstGeom prst="rect">
                      <a:avLst/>
                    </a:prstGeom>
                  </pic:spPr>
                </pic:pic>
              </a:graphicData>
            </a:graphic>
          </wp:inline>
        </w:drawing>
      </w:r>
    </w:p>
    <w:p w14:paraId="17910993" w14:textId="1769AD19" w:rsidR="00742B89" w:rsidRDefault="00742B89" w:rsidP="00742B89">
      <w:pPr>
        <w:pStyle w:val="Caption"/>
        <w:jc w:val="left"/>
      </w:pPr>
      <w:bookmarkStart w:id="28" w:name="_Ref131627549"/>
      <w:r>
        <w:t xml:space="preserve">Figure </w:t>
      </w:r>
      <w:r w:rsidR="00F06485">
        <w:fldChar w:fldCharType="begin"/>
      </w:r>
      <w:r w:rsidR="00F06485">
        <w:instrText xml:space="preserve"> SEQ Figure \* ARABIC </w:instrText>
      </w:r>
      <w:r w:rsidR="00F06485">
        <w:fldChar w:fldCharType="separate"/>
      </w:r>
      <w:r w:rsidR="0087209C">
        <w:rPr>
          <w:noProof/>
        </w:rPr>
        <w:t>15</w:t>
      </w:r>
      <w:r w:rsidR="00F06485">
        <w:rPr>
          <w:noProof/>
        </w:rPr>
        <w:fldChar w:fldCharType="end"/>
      </w:r>
      <w:bookmarkEnd w:id="28"/>
      <w:r>
        <w:t xml:space="preserve">: </w:t>
      </w:r>
      <w:r w:rsidR="009F666A">
        <w:t xml:space="preserve">Time-of-outage and inter-cell mobility failure rate </w:t>
      </w:r>
      <w:r>
        <w:t xml:space="preserve">with early HO triggered in tunnel </w:t>
      </w:r>
      <w:proofErr w:type="spellStart"/>
      <w:r>
        <w:t>uni</w:t>
      </w:r>
      <w:proofErr w:type="spellEnd"/>
      <w:r>
        <w:t xml:space="preserve">-directional </w:t>
      </w:r>
      <w:r w:rsidR="002A6430">
        <w:t xml:space="preserve">“Opposite” </w:t>
      </w:r>
      <w:r>
        <w:t>deployment: (left) Handover rate; (right) ping-pong handover rate.</w:t>
      </w:r>
    </w:p>
    <w:p w14:paraId="2DACC2CD" w14:textId="0B4A731A" w:rsidR="00742B89" w:rsidRPr="00742B89" w:rsidRDefault="009F666A" w:rsidP="00742B89">
      <w:r>
        <w:lastRenderedPageBreak/>
        <w:t xml:space="preserve">The above results suggest that </w:t>
      </w:r>
      <w:r w:rsidR="0067470E">
        <w:t>e</w:t>
      </w:r>
      <w:r>
        <w:t>arly triggering the HO (conditional HO) with proper setting in the area close to source RRH potentially improve</w:t>
      </w:r>
      <w:r w:rsidR="0067470E">
        <w:t>s</w:t>
      </w:r>
      <w:r>
        <w:t xml:space="preserve"> the mobility robustness inside the tunnel when the train is moving opposite to the serving beam pointing direction.</w:t>
      </w:r>
    </w:p>
    <w:p w14:paraId="31EFCFED" w14:textId="32751502" w:rsidR="009F5D28" w:rsidRDefault="00742B89" w:rsidP="00742B89">
      <w:pPr>
        <w:pStyle w:val="RAN4observation0"/>
      </w:pPr>
      <w:bookmarkStart w:id="29" w:name="_Toc131705486"/>
      <w:r>
        <w:t>Early triggering the HO (conditional HO) with proper setting</w:t>
      </w:r>
      <w:r w:rsidR="00FD5FB5">
        <w:t xml:space="preserve"> in the area close to source RRH</w:t>
      </w:r>
      <w:r>
        <w:t xml:space="preserve"> can help to resolve the mobility issue in</w:t>
      </w:r>
      <w:r w:rsidR="002634FC">
        <w:rPr>
          <w:lang w:val="en-150"/>
        </w:rPr>
        <w:t xml:space="preserve"> the</w:t>
      </w:r>
      <w:r>
        <w:t xml:space="preserve"> tunnel when the train is </w:t>
      </w:r>
      <w:r w:rsidR="002634FC">
        <w:rPr>
          <w:lang w:val="en-150"/>
        </w:rPr>
        <w:t>travelling in the direction</w:t>
      </w:r>
      <w:r>
        <w:t xml:space="preserve"> opposite to the serving beam </w:t>
      </w:r>
      <w:r w:rsidR="002634FC">
        <w:rPr>
          <w:lang w:val="en-150"/>
        </w:rPr>
        <w:t>orientation</w:t>
      </w:r>
      <w:r>
        <w:t>.</w:t>
      </w:r>
      <w:bookmarkEnd w:id="29"/>
    </w:p>
    <w:p w14:paraId="60D5495B" w14:textId="77777777" w:rsidR="002634FC" w:rsidRPr="002634FC" w:rsidRDefault="002634FC" w:rsidP="002634FC">
      <w:pPr>
        <w:rPr>
          <w:lang w:val="en-GB"/>
        </w:rPr>
      </w:pPr>
    </w:p>
    <w:p w14:paraId="4809F1A7" w14:textId="77777777" w:rsidR="00CD7492" w:rsidRDefault="00CD7492" w:rsidP="0092540F">
      <w:pPr>
        <w:pStyle w:val="RAN4H1"/>
      </w:pPr>
      <w:bookmarkStart w:id="30" w:name="_Toc127533352"/>
      <w:bookmarkStart w:id="31" w:name="_Toc127533353"/>
      <w:bookmarkStart w:id="32" w:name="_Toc127533354"/>
      <w:bookmarkStart w:id="33" w:name="_Toc127533355"/>
      <w:bookmarkStart w:id="34" w:name="_Toc127533356"/>
      <w:bookmarkStart w:id="35" w:name="_Toc127533357"/>
      <w:bookmarkStart w:id="36" w:name="_Toc127533358"/>
      <w:bookmarkStart w:id="37" w:name="_Toc127533359"/>
      <w:bookmarkStart w:id="38" w:name="_Toc127533360"/>
      <w:bookmarkStart w:id="39" w:name="_Toc127533361"/>
      <w:bookmarkStart w:id="40" w:name="_Toc127533362"/>
      <w:bookmarkStart w:id="41" w:name="_Toc127533363"/>
      <w:bookmarkStart w:id="42" w:name="_Toc127533364"/>
      <w:bookmarkStart w:id="43" w:name="_Toc116995848"/>
      <w:bookmarkEnd w:id="30"/>
      <w:bookmarkEnd w:id="31"/>
      <w:bookmarkEnd w:id="32"/>
      <w:bookmarkEnd w:id="33"/>
      <w:bookmarkEnd w:id="34"/>
      <w:bookmarkEnd w:id="35"/>
      <w:bookmarkEnd w:id="36"/>
      <w:bookmarkEnd w:id="37"/>
      <w:bookmarkEnd w:id="38"/>
      <w:bookmarkEnd w:id="39"/>
      <w:bookmarkEnd w:id="40"/>
      <w:bookmarkEnd w:id="41"/>
      <w:bookmarkEnd w:id="42"/>
      <w:r w:rsidRPr="00EF698B">
        <w:t>Conclusion</w:t>
      </w:r>
      <w:bookmarkEnd w:id="43"/>
    </w:p>
    <w:p w14:paraId="712D2060" w14:textId="48210FC4" w:rsidR="001F2CD0" w:rsidRDefault="0092540F" w:rsidP="00811711">
      <w:r w:rsidRPr="0092540F">
        <w:t>In this paper we provide</w:t>
      </w:r>
      <w:r w:rsidR="0087209C">
        <w:t>d</w:t>
      </w:r>
      <w:r w:rsidRPr="0092540F">
        <w:t xml:space="preserve"> </w:t>
      </w:r>
      <w:r w:rsidR="0087209C">
        <w:t>the</w:t>
      </w:r>
      <w:r w:rsidR="003214F4">
        <w:t xml:space="preserve"> system</w:t>
      </w:r>
      <w:r w:rsidR="00C83329">
        <w:t xml:space="preserve"> </w:t>
      </w:r>
      <w:r w:rsidR="00811711">
        <w:t>simulation result</w:t>
      </w:r>
      <w:r w:rsidR="0087209C">
        <w:t>s to gain the insights on mobility performances in some deployment scenarios and mobility configurations in the tunnel including:</w:t>
      </w:r>
    </w:p>
    <w:p w14:paraId="07FACE7D" w14:textId="4DD2F879" w:rsidR="0087209C" w:rsidRDefault="0087209C" w:rsidP="0087209C">
      <w:pPr>
        <w:pStyle w:val="ListParagraph"/>
        <w:numPr>
          <w:ilvl w:val="0"/>
          <w:numId w:val="50"/>
        </w:numPr>
      </w:pPr>
      <w:r>
        <w:t>deployments at the tunnel entrance/exit</w:t>
      </w:r>
    </w:p>
    <w:p w14:paraId="3BD03A3F" w14:textId="733EDDE1" w:rsidR="0087209C" w:rsidRDefault="0087209C" w:rsidP="0087209C">
      <w:pPr>
        <w:pStyle w:val="ListParagraph"/>
        <w:numPr>
          <w:ilvl w:val="0"/>
          <w:numId w:val="50"/>
        </w:numPr>
      </w:pPr>
      <w:r>
        <w:t>bi-directional deployment with single-panel reception inside the tunnel</w:t>
      </w:r>
    </w:p>
    <w:p w14:paraId="278A841B" w14:textId="5CE22CC8" w:rsidR="0087209C" w:rsidRDefault="0087209C" w:rsidP="00314B53">
      <w:pPr>
        <w:pStyle w:val="ListParagraph"/>
        <w:numPr>
          <w:ilvl w:val="0"/>
          <w:numId w:val="50"/>
        </w:numPr>
      </w:pPr>
      <w:r>
        <w:t xml:space="preserve">CHO handover approach in </w:t>
      </w:r>
      <w:proofErr w:type="spellStart"/>
      <w:r>
        <w:t>uni</w:t>
      </w:r>
      <w:proofErr w:type="spellEnd"/>
      <w:r>
        <w:t>-direction scenario where beams pointing opposite to the train moving direction.</w:t>
      </w:r>
    </w:p>
    <w:p w14:paraId="15DC93FF" w14:textId="2EAB0009" w:rsidR="009F4245" w:rsidRPr="00530390" w:rsidRDefault="00811711" w:rsidP="00811711">
      <w:r>
        <w:t xml:space="preserve">Based on the simulation results, </w:t>
      </w:r>
      <w:r w:rsidR="008B0961">
        <w:t>t</w:t>
      </w:r>
      <w:r w:rsidR="005B4801">
        <w:t xml:space="preserve">he </w:t>
      </w:r>
      <w:r w:rsidRPr="00E55751">
        <w:t>following</w:t>
      </w:r>
      <w:r w:rsidR="005B4801" w:rsidRPr="00E55751">
        <w:t xml:space="preserve"> Observations </w:t>
      </w:r>
      <w:r w:rsidR="005B4801">
        <w:t>were made:</w:t>
      </w:r>
    </w:p>
    <w:p w14:paraId="69A99742" w14:textId="471DB6D1" w:rsidR="002634FC" w:rsidRDefault="00A4355E">
      <w:pPr>
        <w:pStyle w:val="TOC4"/>
        <w:tabs>
          <w:tab w:val="right" w:leader="dot" w:pos="9617"/>
        </w:tabs>
        <w:rPr>
          <w:rFonts w:asciiTheme="minorHAnsi" w:eastAsiaTheme="minorEastAsia" w:hAnsiTheme="minorHAnsi"/>
          <w:noProof/>
          <w:sz w:val="22"/>
        </w:rPr>
      </w:pPr>
      <w:r>
        <w:rPr>
          <w:i/>
          <w:iCs/>
          <w:noProof/>
          <w:u w:val="single"/>
        </w:rPr>
        <w:fldChar w:fldCharType="begin"/>
      </w:r>
      <w:r>
        <w:rPr>
          <w:i/>
          <w:iCs/>
          <w:noProof/>
          <w:u w:val="single"/>
        </w:rPr>
        <w:instrText xml:space="preserve"> TOC \n \h \z \t "RAN4 proposal,5,RAN4 observation,4" </w:instrText>
      </w:r>
      <w:r>
        <w:rPr>
          <w:i/>
          <w:iCs/>
          <w:noProof/>
          <w:u w:val="single"/>
        </w:rPr>
        <w:fldChar w:fldCharType="separate"/>
      </w:r>
      <w:hyperlink w:anchor="_Toc131705484" w:history="1">
        <w:r w:rsidR="002634FC" w:rsidRPr="00175DB8">
          <w:rPr>
            <w:rStyle w:val="Hyperlink"/>
            <w:b/>
            <w:noProof/>
          </w:rPr>
          <w:t>Observation 1:</w:t>
        </w:r>
        <w:r w:rsidR="002634FC" w:rsidRPr="00175DB8">
          <w:rPr>
            <w:rStyle w:val="Hyperlink"/>
            <w:noProof/>
          </w:rPr>
          <w:t xml:space="preserve"> NLoS condition at the transition area between open space and tunnel due to limited coverage of open-space RRH’s beam inside the tunnel has impact to mobility performances, i.e., increase the time-of-outage and mobility failure rate.</w:t>
        </w:r>
      </w:hyperlink>
    </w:p>
    <w:p w14:paraId="2A1CA04F" w14:textId="16136F5B" w:rsidR="002634FC" w:rsidRDefault="00F06485">
      <w:pPr>
        <w:pStyle w:val="TOC4"/>
        <w:tabs>
          <w:tab w:val="right" w:leader="dot" w:pos="9617"/>
        </w:tabs>
        <w:rPr>
          <w:rFonts w:asciiTheme="minorHAnsi" w:eastAsiaTheme="minorEastAsia" w:hAnsiTheme="minorHAnsi"/>
          <w:noProof/>
          <w:sz w:val="22"/>
        </w:rPr>
      </w:pPr>
      <w:hyperlink w:anchor="_Toc131705485" w:history="1">
        <w:r w:rsidR="002634FC" w:rsidRPr="00175DB8">
          <w:rPr>
            <w:rStyle w:val="Hyperlink"/>
            <w:b/>
            <w:noProof/>
          </w:rPr>
          <w:t>Observation 2:</w:t>
        </w:r>
        <w:r w:rsidR="002634FC" w:rsidRPr="00175DB8">
          <w:rPr>
            <w:rStyle w:val="Hyperlink"/>
            <w:noProof/>
          </w:rPr>
          <w:t xml:space="preserve"> Bi-directional deployment with single panel reception in tunnel scenario improve mobility performance but cannot completely solve the mobility issues in uni-direction deployment when the train </w:t>
        </w:r>
        <w:r w:rsidR="002634FC" w:rsidRPr="00175DB8">
          <w:rPr>
            <w:rStyle w:val="Hyperlink"/>
            <w:noProof/>
            <w:lang w:val="en-150"/>
          </w:rPr>
          <w:t>is travelling</w:t>
        </w:r>
        <w:r w:rsidR="002634FC" w:rsidRPr="00175DB8">
          <w:rPr>
            <w:rStyle w:val="Hyperlink"/>
            <w:noProof/>
          </w:rPr>
          <w:t xml:space="preserve"> opposite to serving beam direction, while inheriting </w:t>
        </w:r>
        <w:r w:rsidR="002634FC" w:rsidRPr="00175DB8">
          <w:rPr>
            <w:rStyle w:val="Hyperlink"/>
            <w:noProof/>
            <w:lang w:val="en-150"/>
          </w:rPr>
          <w:t>similar</w:t>
        </w:r>
        <w:r w:rsidR="002634FC" w:rsidRPr="00175DB8">
          <w:rPr>
            <w:rStyle w:val="Hyperlink"/>
            <w:noProof/>
          </w:rPr>
          <w:t xml:space="preserve"> ping-pong and HO </w:t>
        </w:r>
        <w:r w:rsidR="002634FC" w:rsidRPr="00175DB8">
          <w:rPr>
            <w:rStyle w:val="Hyperlink"/>
            <w:noProof/>
            <w:lang w:val="en-150"/>
          </w:rPr>
          <w:t>frequency</w:t>
        </w:r>
        <w:r w:rsidR="002634FC" w:rsidRPr="00175DB8">
          <w:rPr>
            <w:rStyle w:val="Hyperlink"/>
            <w:noProof/>
          </w:rPr>
          <w:t xml:space="preserve"> behaviours as in open space.</w:t>
        </w:r>
      </w:hyperlink>
    </w:p>
    <w:p w14:paraId="273ECEAB" w14:textId="5C89147B" w:rsidR="002634FC" w:rsidRDefault="00F06485">
      <w:pPr>
        <w:pStyle w:val="TOC4"/>
        <w:tabs>
          <w:tab w:val="right" w:leader="dot" w:pos="9617"/>
        </w:tabs>
        <w:rPr>
          <w:rFonts w:asciiTheme="minorHAnsi" w:eastAsiaTheme="minorEastAsia" w:hAnsiTheme="minorHAnsi"/>
          <w:noProof/>
          <w:sz w:val="22"/>
        </w:rPr>
      </w:pPr>
      <w:hyperlink w:anchor="_Toc131705486" w:history="1">
        <w:r w:rsidR="002634FC" w:rsidRPr="00175DB8">
          <w:rPr>
            <w:rStyle w:val="Hyperlink"/>
            <w:b/>
            <w:noProof/>
          </w:rPr>
          <w:t>Observation 3:</w:t>
        </w:r>
        <w:r w:rsidR="002634FC" w:rsidRPr="00175DB8">
          <w:rPr>
            <w:rStyle w:val="Hyperlink"/>
            <w:noProof/>
          </w:rPr>
          <w:t xml:space="preserve"> Early triggering the HO (conditional HO) with proper setting in the area close to source RRH can help to resolve the mobility issue in</w:t>
        </w:r>
        <w:r w:rsidR="002634FC" w:rsidRPr="00175DB8">
          <w:rPr>
            <w:rStyle w:val="Hyperlink"/>
            <w:noProof/>
            <w:lang w:val="en-150"/>
          </w:rPr>
          <w:t xml:space="preserve"> the</w:t>
        </w:r>
        <w:r w:rsidR="002634FC" w:rsidRPr="00175DB8">
          <w:rPr>
            <w:rStyle w:val="Hyperlink"/>
            <w:noProof/>
          </w:rPr>
          <w:t xml:space="preserve"> tunnel when the train is </w:t>
        </w:r>
        <w:r w:rsidR="002634FC" w:rsidRPr="00175DB8">
          <w:rPr>
            <w:rStyle w:val="Hyperlink"/>
            <w:noProof/>
            <w:lang w:val="en-150"/>
          </w:rPr>
          <w:t>travelling in the direction</w:t>
        </w:r>
        <w:r w:rsidR="002634FC" w:rsidRPr="00175DB8">
          <w:rPr>
            <w:rStyle w:val="Hyperlink"/>
            <w:noProof/>
          </w:rPr>
          <w:t xml:space="preserve"> opposite to the serving beam </w:t>
        </w:r>
        <w:r w:rsidR="002634FC" w:rsidRPr="00175DB8">
          <w:rPr>
            <w:rStyle w:val="Hyperlink"/>
            <w:noProof/>
            <w:lang w:val="en-150"/>
          </w:rPr>
          <w:t>orientation</w:t>
        </w:r>
        <w:r w:rsidR="002634FC" w:rsidRPr="00175DB8">
          <w:rPr>
            <w:rStyle w:val="Hyperlink"/>
            <w:noProof/>
          </w:rPr>
          <w:t>.</w:t>
        </w:r>
      </w:hyperlink>
    </w:p>
    <w:p w14:paraId="35FF3E51" w14:textId="2F8B330A" w:rsidR="001D6391" w:rsidRPr="0016457E" w:rsidRDefault="00A4355E" w:rsidP="0016457E">
      <w:pPr>
        <w:rPr>
          <w:noProof/>
        </w:rPr>
      </w:pPr>
      <w:r>
        <w:rPr>
          <w:noProof/>
        </w:rPr>
        <w:fldChar w:fldCharType="end"/>
      </w:r>
      <w:bookmarkStart w:id="44" w:name="_Toc116995849"/>
    </w:p>
    <w:p w14:paraId="718CEC4E" w14:textId="60F9B372" w:rsidR="003B659E" w:rsidRPr="0060543D" w:rsidRDefault="003B659E" w:rsidP="0060543D">
      <w:pPr>
        <w:pStyle w:val="RAN4H1"/>
        <w:numPr>
          <w:ilvl w:val="0"/>
          <w:numId w:val="0"/>
        </w:numPr>
        <w:ind w:left="360" w:hanging="360"/>
      </w:pPr>
      <w:r w:rsidRPr="00EF698B">
        <w:t>References</w:t>
      </w:r>
      <w:bookmarkEnd w:id="44"/>
    </w:p>
    <w:p w14:paraId="33916729" w14:textId="77777777" w:rsidR="00C72467" w:rsidRPr="00C72467" w:rsidRDefault="00C72467" w:rsidP="00C72467">
      <w:pPr>
        <w:pStyle w:val="ListParagraph"/>
        <w:numPr>
          <w:ilvl w:val="0"/>
          <w:numId w:val="21"/>
        </w:numPr>
      </w:pPr>
      <w:bookmarkStart w:id="45" w:name="_Ref114500673"/>
      <w:bookmarkStart w:id="46" w:name="_Ref118741312"/>
      <w:bookmarkStart w:id="47" w:name="_Ref115391339"/>
      <w:bookmarkEnd w:id="45"/>
      <w:r w:rsidRPr="00C72467">
        <w:t>RP-220985, New WID on enhanced NR support for high speed train scenario in frequency range 2 (FR2), Samsung, RAN#95-e, March 17-23, 2022.</w:t>
      </w:r>
      <w:bookmarkEnd w:id="46"/>
    </w:p>
    <w:p w14:paraId="645D61A1" w14:textId="021B1966" w:rsidR="008425A3" w:rsidRDefault="00EB7DC0" w:rsidP="00897BF9">
      <w:pPr>
        <w:pStyle w:val="ListParagraph"/>
        <w:numPr>
          <w:ilvl w:val="0"/>
          <w:numId w:val="21"/>
        </w:numPr>
        <w:tabs>
          <w:tab w:val="center" w:pos="4153"/>
          <w:tab w:val="right" w:pos="8306"/>
        </w:tabs>
        <w:ind w:right="-22"/>
      </w:pPr>
      <w:bookmarkStart w:id="48" w:name="_Ref118741301"/>
      <w:r w:rsidRPr="00A11AF4">
        <w:t>R4-2</w:t>
      </w:r>
      <w:r>
        <w:t xml:space="preserve">303174, </w:t>
      </w:r>
      <w:r w:rsidRPr="004E34FA">
        <w:t>WF on FR2 HST tunnel deployment scenario</w:t>
      </w:r>
      <w:r>
        <w:t>, Nokia, RAN4#106, February</w:t>
      </w:r>
      <w:r w:rsidRPr="00F51B66">
        <w:t xml:space="preserve"> </w:t>
      </w:r>
      <w:r>
        <w:t>27</w:t>
      </w:r>
      <w:r w:rsidRPr="00F51B66">
        <w:t xml:space="preserve"> – </w:t>
      </w:r>
      <w:r>
        <w:t>March 3</w:t>
      </w:r>
      <w:r w:rsidRPr="00F51B66">
        <w:t>, 202</w:t>
      </w:r>
      <w:r>
        <w:t>3</w:t>
      </w:r>
      <w:r w:rsidR="00F51B66">
        <w:t>.</w:t>
      </w:r>
      <w:bookmarkEnd w:id="48"/>
    </w:p>
    <w:p w14:paraId="5D51E146" w14:textId="40F38E7D" w:rsidR="009420E8" w:rsidRDefault="009420E8" w:rsidP="00897BF9">
      <w:pPr>
        <w:pStyle w:val="ListParagraph"/>
        <w:numPr>
          <w:ilvl w:val="0"/>
          <w:numId w:val="21"/>
        </w:numPr>
        <w:tabs>
          <w:tab w:val="center" w:pos="4153"/>
          <w:tab w:val="right" w:pos="8306"/>
        </w:tabs>
        <w:ind w:right="-22"/>
      </w:pPr>
      <w:bookmarkStart w:id="49" w:name="_Ref131597010"/>
      <w:r>
        <w:t xml:space="preserve">R4-230xxxx, </w:t>
      </w:r>
      <w:r w:rsidRPr="009420E8">
        <w:t>On RRM Aspects of Tunnel Deployment Scenarios in HST FR2 Enhanced</w:t>
      </w:r>
      <w:r>
        <w:t xml:space="preserve">, </w:t>
      </w:r>
      <w:r w:rsidR="00EB7DC0">
        <w:t>Nokia, RAN4#106bis-e, April</w:t>
      </w:r>
      <w:r w:rsidR="00EB7DC0" w:rsidRPr="00F51B66">
        <w:t xml:space="preserve"> </w:t>
      </w:r>
      <w:r w:rsidR="00EB7DC0">
        <w:t>17-26</w:t>
      </w:r>
      <w:r w:rsidR="00EB7DC0" w:rsidRPr="00F51B66">
        <w:t>, 202</w:t>
      </w:r>
      <w:r w:rsidR="00EB7DC0">
        <w:t>3</w:t>
      </w:r>
      <w:r>
        <w:t>.</w:t>
      </w:r>
      <w:bookmarkEnd w:id="49"/>
    </w:p>
    <w:p w14:paraId="2FAD9146" w14:textId="6CF88C30" w:rsidR="0060543D" w:rsidRDefault="00897BF9" w:rsidP="008425A3">
      <w:pPr>
        <w:pStyle w:val="ListParagraph"/>
        <w:numPr>
          <w:ilvl w:val="0"/>
          <w:numId w:val="21"/>
        </w:numPr>
        <w:tabs>
          <w:tab w:val="center" w:pos="4153"/>
          <w:tab w:val="right" w:pos="8306"/>
        </w:tabs>
        <w:ind w:right="-22"/>
      </w:pPr>
      <w:bookmarkStart w:id="50" w:name="_Ref118752331"/>
      <w:r>
        <w:t xml:space="preserve">3GPP </w:t>
      </w:r>
      <w:r w:rsidRPr="00417D72">
        <w:t>T</w:t>
      </w:r>
      <w:r>
        <w:t>R</w:t>
      </w:r>
      <w:r w:rsidRPr="00417D72">
        <w:t xml:space="preserve"> 3</w:t>
      </w:r>
      <w:r>
        <w:t>8</w:t>
      </w:r>
      <w:r w:rsidRPr="00417D72">
        <w:t>.</w:t>
      </w:r>
      <w:r>
        <w:t xml:space="preserve">854 </w:t>
      </w:r>
      <w:r w:rsidRPr="00D84D4C">
        <w:rPr>
          <w:szCs w:val="20"/>
        </w:rPr>
        <w:t>v17.1.0</w:t>
      </w:r>
      <w:r w:rsidRPr="00417D72">
        <w:t xml:space="preserve">: </w:t>
      </w:r>
      <w:r w:rsidRPr="003A7779">
        <w:t>“</w:t>
      </w:r>
      <w:r>
        <w:t xml:space="preserve">NR; </w:t>
      </w:r>
      <w:r w:rsidRPr="00D84D4C">
        <w:t>NR support for high speed train scenario in frequency range 2 (FR2)</w:t>
      </w:r>
      <w:r>
        <w:t>”.</w:t>
      </w:r>
      <w:bookmarkEnd w:id="47"/>
      <w:bookmarkEnd w:id="50"/>
    </w:p>
    <w:p w14:paraId="187C5052" w14:textId="2210AC27" w:rsidR="009B6077" w:rsidRDefault="009B6077" w:rsidP="009B6077">
      <w:pPr>
        <w:pStyle w:val="ListParagraph"/>
        <w:numPr>
          <w:ilvl w:val="0"/>
          <w:numId w:val="21"/>
        </w:numPr>
        <w:tabs>
          <w:tab w:val="center" w:pos="4153"/>
          <w:tab w:val="right" w:pos="8306"/>
        </w:tabs>
        <w:spacing w:line="256" w:lineRule="auto"/>
        <w:ind w:right="-22"/>
      </w:pPr>
      <w:bookmarkStart w:id="51" w:name="_Ref115391303"/>
      <w:r>
        <w:t xml:space="preserve">3GPP TR 38.901 </w:t>
      </w:r>
      <w:r>
        <w:rPr>
          <w:szCs w:val="20"/>
        </w:rPr>
        <w:t>v17.0.0</w:t>
      </w:r>
      <w:r>
        <w:t>: “Study on channel model for frequencies from 0.5 to 100 GHz”</w:t>
      </w:r>
      <w:bookmarkEnd w:id="51"/>
    </w:p>
    <w:p w14:paraId="14228058" w14:textId="77777777" w:rsidR="001B1234" w:rsidRDefault="001B1234" w:rsidP="001B1234">
      <w:pPr>
        <w:pStyle w:val="ListParagraph"/>
        <w:numPr>
          <w:ilvl w:val="0"/>
          <w:numId w:val="21"/>
        </w:numPr>
        <w:tabs>
          <w:tab w:val="center" w:pos="4153"/>
          <w:tab w:val="right" w:pos="8306"/>
        </w:tabs>
        <w:ind w:right="-22"/>
      </w:pPr>
      <w:bookmarkStart w:id="52" w:name="_Ref131609376"/>
      <w:r w:rsidRPr="00A11AF4">
        <w:t>R4-22</w:t>
      </w:r>
      <w:r>
        <w:t xml:space="preserve">20396, </w:t>
      </w:r>
      <w:r w:rsidRPr="0042051C">
        <w:t>WF on NR FR2 HST Tunnel deployment and UL timing adjustment</w:t>
      </w:r>
      <w:r>
        <w:t xml:space="preserve">, Nokia, RAN4#105, </w:t>
      </w:r>
      <w:r w:rsidRPr="00F51B66">
        <w:t>November 14 – November 18, 2022</w:t>
      </w:r>
      <w:r>
        <w:t>.</w:t>
      </w:r>
      <w:bookmarkEnd w:id="52"/>
    </w:p>
    <w:p w14:paraId="74A90B46" w14:textId="606D192F" w:rsidR="001B1234" w:rsidRDefault="00FD5FB5" w:rsidP="00FD5FB5">
      <w:pPr>
        <w:pStyle w:val="ListParagraph"/>
        <w:numPr>
          <w:ilvl w:val="0"/>
          <w:numId w:val="21"/>
        </w:numPr>
      </w:pPr>
      <w:bookmarkStart w:id="53" w:name="_Ref124157485"/>
      <w:bookmarkStart w:id="54" w:name="_Ref131626189"/>
      <w:r w:rsidRPr="006D26AB">
        <w:t>R4-2301352</w:t>
      </w:r>
      <w:r>
        <w:t xml:space="preserve">, Updated </w:t>
      </w:r>
      <w:r w:rsidRPr="00EA624E">
        <w:t>Simulation Results for Mobility Performance in Tunnel Deployment</w:t>
      </w:r>
      <w:r>
        <w:t xml:space="preserve">, Nokia, RAN4#106, </w:t>
      </w:r>
      <w:r w:rsidRPr="00EA624E">
        <w:t>February 27 – March 3, 2023</w:t>
      </w:r>
      <w:r>
        <w:t>.</w:t>
      </w:r>
      <w:bookmarkEnd w:id="53"/>
    </w:p>
    <w:bookmarkEnd w:id="54"/>
    <w:p w14:paraId="1626ED59" w14:textId="77777777" w:rsidR="009B6077" w:rsidRPr="008425A3" w:rsidRDefault="009B6077" w:rsidP="007233ED">
      <w:pPr>
        <w:tabs>
          <w:tab w:val="center" w:pos="4153"/>
          <w:tab w:val="right" w:pos="8306"/>
        </w:tabs>
        <w:ind w:left="360" w:right="-22"/>
      </w:pPr>
    </w:p>
    <w:sectPr w:rsidR="009B6077" w:rsidRPr="008425A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F074E" w14:textId="77777777" w:rsidR="008F1046" w:rsidRDefault="008F1046" w:rsidP="00001C9B">
      <w:pPr>
        <w:spacing w:after="0" w:line="240" w:lineRule="auto"/>
      </w:pPr>
      <w:r>
        <w:separator/>
      </w:r>
    </w:p>
  </w:endnote>
  <w:endnote w:type="continuationSeparator" w:id="0">
    <w:p w14:paraId="2520CFE6" w14:textId="77777777" w:rsidR="008F1046" w:rsidRDefault="008F1046" w:rsidP="00001C9B">
      <w:pPr>
        <w:spacing w:after="0" w:line="240" w:lineRule="auto"/>
      </w:pPr>
      <w:r>
        <w:continuationSeparator/>
      </w:r>
    </w:p>
  </w:endnote>
  <w:endnote w:type="continuationNotice" w:id="1">
    <w:p w14:paraId="4CE8C1EA" w14:textId="77777777" w:rsidR="008F1046" w:rsidRDefault="008F10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97B34" w14:textId="77777777" w:rsidR="008F1046" w:rsidRDefault="008F1046" w:rsidP="00001C9B">
      <w:pPr>
        <w:spacing w:after="0" w:line="240" w:lineRule="auto"/>
      </w:pPr>
      <w:r>
        <w:separator/>
      </w:r>
    </w:p>
  </w:footnote>
  <w:footnote w:type="continuationSeparator" w:id="0">
    <w:p w14:paraId="0056CAA7" w14:textId="77777777" w:rsidR="008F1046" w:rsidRDefault="008F1046" w:rsidP="00001C9B">
      <w:pPr>
        <w:spacing w:after="0" w:line="240" w:lineRule="auto"/>
      </w:pPr>
      <w:r>
        <w:continuationSeparator/>
      </w:r>
    </w:p>
  </w:footnote>
  <w:footnote w:type="continuationNotice" w:id="1">
    <w:p w14:paraId="1F89BF08" w14:textId="77777777" w:rsidR="008F1046" w:rsidRDefault="008F104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3E5224"/>
    <w:multiLevelType w:val="hybridMultilevel"/>
    <w:tmpl w:val="1ADE0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CC78FD"/>
    <w:multiLevelType w:val="hybridMultilevel"/>
    <w:tmpl w:val="EB9A1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FB658F"/>
    <w:multiLevelType w:val="hybridMultilevel"/>
    <w:tmpl w:val="A45A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6855EA"/>
    <w:multiLevelType w:val="hybridMultilevel"/>
    <w:tmpl w:val="7110D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941B3B"/>
    <w:multiLevelType w:val="hybridMultilevel"/>
    <w:tmpl w:val="57B2E0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9F0975"/>
    <w:multiLevelType w:val="hybridMultilevel"/>
    <w:tmpl w:val="F34EA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791" w:hanging="360"/>
      </w:pPr>
      <w:rPr>
        <w:rFonts w:ascii="Times New Roman" w:hAnsi="Times New Roman" w:hint="default"/>
        <w:b/>
        <w:i w:val="0"/>
        <w:color w:val="auto"/>
        <w:sz w:val="20"/>
      </w:rPr>
    </w:lvl>
    <w:lvl w:ilvl="1" w:tplc="04090019">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14" w15:restartNumberingAfterBreak="0">
    <w:nsid w:val="46E926D2"/>
    <w:multiLevelType w:val="hybridMultilevel"/>
    <w:tmpl w:val="86526DE4"/>
    <w:lvl w:ilvl="0" w:tplc="3D22D0D2">
      <w:start w:val="6"/>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7AB2C10"/>
    <w:multiLevelType w:val="hybridMultilevel"/>
    <w:tmpl w:val="4164E9F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6E3167"/>
    <w:multiLevelType w:val="hybridMultilevel"/>
    <w:tmpl w:val="5958FFAC"/>
    <w:lvl w:ilvl="0" w:tplc="3392E68E">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C90FEA"/>
    <w:multiLevelType w:val="hybridMultilevel"/>
    <w:tmpl w:val="9C30727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9" w15:restartNumberingAfterBreak="0">
    <w:nsid w:val="551D722D"/>
    <w:multiLevelType w:val="hybridMultilevel"/>
    <w:tmpl w:val="4F025E06"/>
    <w:lvl w:ilvl="0" w:tplc="0809000F">
      <w:start w:val="1"/>
      <w:numFmt w:val="decimal"/>
      <w:lvlText w:val="%1."/>
      <w:lvlJc w:val="left"/>
      <w:pPr>
        <w:ind w:left="752" w:hanging="360"/>
      </w:pPr>
    </w:lvl>
    <w:lvl w:ilvl="1" w:tplc="08090019">
      <w:start w:val="1"/>
      <w:numFmt w:val="lowerLetter"/>
      <w:lvlText w:val="%2."/>
      <w:lvlJc w:val="left"/>
      <w:pPr>
        <w:ind w:left="1472" w:hanging="360"/>
      </w:pPr>
    </w:lvl>
    <w:lvl w:ilvl="2" w:tplc="0809001B">
      <w:start w:val="1"/>
      <w:numFmt w:val="lowerRoman"/>
      <w:lvlText w:val="%3."/>
      <w:lvlJc w:val="right"/>
      <w:pPr>
        <w:ind w:left="2192" w:hanging="180"/>
      </w:pPr>
    </w:lvl>
    <w:lvl w:ilvl="3" w:tplc="0809000F">
      <w:start w:val="1"/>
      <w:numFmt w:val="decimal"/>
      <w:lvlText w:val="%4."/>
      <w:lvlJc w:val="left"/>
      <w:pPr>
        <w:ind w:left="2912" w:hanging="360"/>
      </w:pPr>
    </w:lvl>
    <w:lvl w:ilvl="4" w:tplc="08090019">
      <w:start w:val="1"/>
      <w:numFmt w:val="lowerLetter"/>
      <w:lvlText w:val="%5."/>
      <w:lvlJc w:val="left"/>
      <w:pPr>
        <w:ind w:left="3632" w:hanging="360"/>
      </w:pPr>
    </w:lvl>
    <w:lvl w:ilvl="5" w:tplc="0809001B">
      <w:start w:val="1"/>
      <w:numFmt w:val="lowerRoman"/>
      <w:lvlText w:val="%6."/>
      <w:lvlJc w:val="right"/>
      <w:pPr>
        <w:ind w:left="4352" w:hanging="180"/>
      </w:pPr>
    </w:lvl>
    <w:lvl w:ilvl="6" w:tplc="0809000F">
      <w:start w:val="1"/>
      <w:numFmt w:val="decimal"/>
      <w:lvlText w:val="%7."/>
      <w:lvlJc w:val="left"/>
      <w:pPr>
        <w:ind w:left="5072" w:hanging="360"/>
      </w:pPr>
    </w:lvl>
    <w:lvl w:ilvl="7" w:tplc="08090019">
      <w:start w:val="1"/>
      <w:numFmt w:val="lowerLetter"/>
      <w:lvlText w:val="%8."/>
      <w:lvlJc w:val="left"/>
      <w:pPr>
        <w:ind w:left="5792" w:hanging="360"/>
      </w:pPr>
    </w:lvl>
    <w:lvl w:ilvl="8" w:tplc="0809001B">
      <w:start w:val="1"/>
      <w:numFmt w:val="lowerRoman"/>
      <w:lvlText w:val="%9."/>
      <w:lvlJc w:val="right"/>
      <w:pPr>
        <w:ind w:left="6512" w:hanging="180"/>
      </w:pPr>
    </w:lvl>
  </w:abstractNum>
  <w:abstractNum w:abstractNumId="20" w15:restartNumberingAfterBreak="0">
    <w:nsid w:val="58B73482"/>
    <w:multiLevelType w:val="hybridMultilevel"/>
    <w:tmpl w:val="5F802452"/>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3C520A"/>
    <w:multiLevelType w:val="hybridMultilevel"/>
    <w:tmpl w:val="368873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417DB4"/>
    <w:multiLevelType w:val="hybridMultilevel"/>
    <w:tmpl w:val="721E43A8"/>
    <w:lvl w:ilvl="0" w:tplc="455C5E92">
      <w:start w:val="6"/>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5F8779A3"/>
    <w:multiLevelType w:val="hybridMultilevel"/>
    <w:tmpl w:val="690A1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0B07F8C"/>
    <w:multiLevelType w:val="hybridMultilevel"/>
    <w:tmpl w:val="AE6C0B82"/>
    <w:lvl w:ilvl="0" w:tplc="18090001">
      <w:start w:val="1"/>
      <w:numFmt w:val="bullet"/>
      <w:lvlText w:val=""/>
      <w:lvlJc w:val="left"/>
      <w:pPr>
        <w:ind w:left="780" w:hanging="360"/>
      </w:pPr>
      <w:rPr>
        <w:rFonts w:ascii="Symbol" w:hAnsi="Symbol" w:hint="default"/>
      </w:rPr>
    </w:lvl>
    <w:lvl w:ilvl="1" w:tplc="18090003">
      <w:start w:val="1"/>
      <w:numFmt w:val="bullet"/>
      <w:lvlText w:val="o"/>
      <w:lvlJc w:val="left"/>
      <w:pPr>
        <w:ind w:left="1500" w:hanging="360"/>
      </w:pPr>
      <w:rPr>
        <w:rFonts w:ascii="Courier New" w:hAnsi="Courier New" w:cs="Courier New" w:hint="default"/>
      </w:rPr>
    </w:lvl>
    <w:lvl w:ilvl="2" w:tplc="18090005">
      <w:start w:val="1"/>
      <w:numFmt w:val="bullet"/>
      <w:lvlText w:val=""/>
      <w:lvlJc w:val="left"/>
      <w:pPr>
        <w:ind w:left="2220" w:hanging="360"/>
      </w:pPr>
      <w:rPr>
        <w:rFonts w:ascii="Wingdings" w:hAnsi="Wingdings" w:hint="default"/>
      </w:rPr>
    </w:lvl>
    <w:lvl w:ilvl="3" w:tplc="18090001">
      <w:start w:val="1"/>
      <w:numFmt w:val="bullet"/>
      <w:lvlText w:val=""/>
      <w:lvlJc w:val="left"/>
      <w:pPr>
        <w:ind w:left="2940" w:hanging="360"/>
      </w:pPr>
      <w:rPr>
        <w:rFonts w:ascii="Symbol" w:hAnsi="Symbol" w:hint="default"/>
      </w:rPr>
    </w:lvl>
    <w:lvl w:ilvl="4" w:tplc="18090003">
      <w:start w:val="1"/>
      <w:numFmt w:val="bullet"/>
      <w:lvlText w:val="o"/>
      <w:lvlJc w:val="left"/>
      <w:pPr>
        <w:ind w:left="3660" w:hanging="360"/>
      </w:pPr>
      <w:rPr>
        <w:rFonts w:ascii="Courier New" w:hAnsi="Courier New" w:cs="Courier New" w:hint="default"/>
      </w:rPr>
    </w:lvl>
    <w:lvl w:ilvl="5" w:tplc="18090005">
      <w:start w:val="1"/>
      <w:numFmt w:val="bullet"/>
      <w:lvlText w:val=""/>
      <w:lvlJc w:val="left"/>
      <w:pPr>
        <w:ind w:left="4380" w:hanging="360"/>
      </w:pPr>
      <w:rPr>
        <w:rFonts w:ascii="Wingdings" w:hAnsi="Wingdings" w:hint="default"/>
      </w:rPr>
    </w:lvl>
    <w:lvl w:ilvl="6" w:tplc="18090001">
      <w:start w:val="1"/>
      <w:numFmt w:val="bullet"/>
      <w:lvlText w:val=""/>
      <w:lvlJc w:val="left"/>
      <w:pPr>
        <w:ind w:left="5100" w:hanging="360"/>
      </w:pPr>
      <w:rPr>
        <w:rFonts w:ascii="Symbol" w:hAnsi="Symbol" w:hint="default"/>
      </w:rPr>
    </w:lvl>
    <w:lvl w:ilvl="7" w:tplc="18090003">
      <w:start w:val="1"/>
      <w:numFmt w:val="bullet"/>
      <w:lvlText w:val="o"/>
      <w:lvlJc w:val="left"/>
      <w:pPr>
        <w:ind w:left="5820" w:hanging="360"/>
      </w:pPr>
      <w:rPr>
        <w:rFonts w:ascii="Courier New" w:hAnsi="Courier New" w:cs="Courier New" w:hint="default"/>
      </w:rPr>
    </w:lvl>
    <w:lvl w:ilvl="8" w:tplc="18090005">
      <w:start w:val="1"/>
      <w:numFmt w:val="bullet"/>
      <w:lvlText w:val=""/>
      <w:lvlJc w:val="left"/>
      <w:pPr>
        <w:ind w:left="6540" w:hanging="360"/>
      </w:pPr>
      <w:rPr>
        <w:rFonts w:ascii="Wingdings" w:hAnsi="Wingdings" w:hint="default"/>
      </w:r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2C71936"/>
    <w:multiLevelType w:val="multilevel"/>
    <w:tmpl w:val="8DCAE736"/>
    <w:lvl w:ilvl="0">
      <w:start w:val="2"/>
      <w:numFmt w:val="decimal"/>
      <w:lvlText w:val="%1"/>
      <w:lvlJc w:val="left"/>
      <w:pPr>
        <w:tabs>
          <w:tab w:val="num" w:pos="432"/>
        </w:tabs>
        <w:ind w:left="432" w:hanging="432"/>
      </w:pPr>
      <w:rPr>
        <w:rFonts w:hint="default"/>
        <w:strike w:val="0"/>
        <w:dstrike w:val="0"/>
        <w:u w:val="none"/>
        <w:effect w:val="none"/>
      </w:rPr>
    </w:lvl>
    <w:lvl w:ilvl="1">
      <w:start w:val="1"/>
      <w:numFmt w:val="decimal"/>
      <w:lvlText w:val="%1.%2"/>
      <w:lvlJc w:val="left"/>
      <w:pPr>
        <w:tabs>
          <w:tab w:val="num" w:pos="576"/>
        </w:tabs>
        <w:ind w:left="576" w:hanging="576"/>
      </w:pPr>
      <w:rPr>
        <w:rFonts w:hint="default"/>
        <w:strike w:val="0"/>
        <w:dstrike w:val="0"/>
        <w:color w:val="000000"/>
        <w:u w:val="none"/>
        <w:effect w:val="none"/>
      </w:rPr>
    </w:lvl>
    <w:lvl w:ilvl="2">
      <w:start w:val="1"/>
      <w:numFmt w:val="decimal"/>
      <w:lvlText w:val="%1.%2.%3"/>
      <w:lvlJc w:val="left"/>
      <w:pPr>
        <w:tabs>
          <w:tab w:val="num" w:pos="1146"/>
        </w:tabs>
        <w:ind w:left="1146" w:hanging="720"/>
      </w:pPr>
      <w:rPr>
        <w:rFonts w:hint="default"/>
        <w:strike w:val="0"/>
        <w:dstrike w:val="0"/>
        <w:u w:val="none"/>
        <w:effect w:val="none"/>
      </w:rPr>
    </w:lvl>
    <w:lvl w:ilvl="3">
      <w:start w:val="1"/>
      <w:numFmt w:val="decimal"/>
      <w:lvlText w:val="%1.%2.%3.%4"/>
      <w:lvlJc w:val="left"/>
      <w:pPr>
        <w:tabs>
          <w:tab w:val="num" w:pos="864"/>
        </w:tabs>
        <w:ind w:left="864" w:hanging="864"/>
      </w:pPr>
      <w:rPr>
        <w:rFonts w:hint="default"/>
        <w:strike w:val="0"/>
        <w:dstrike w:val="0"/>
        <w:u w:val="none"/>
        <w:effect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6735D7F"/>
    <w:multiLevelType w:val="multilevel"/>
    <w:tmpl w:val="3EFCC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32473D"/>
    <w:multiLevelType w:val="hybridMultilevel"/>
    <w:tmpl w:val="A0240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340737043">
    <w:abstractNumId w:val="1"/>
  </w:num>
  <w:num w:numId="2" w16cid:durableId="1119880752">
    <w:abstractNumId w:val="7"/>
  </w:num>
  <w:num w:numId="3" w16cid:durableId="1600215549">
    <w:abstractNumId w:val="17"/>
  </w:num>
  <w:num w:numId="4" w16cid:durableId="897981651">
    <w:abstractNumId w:val="6"/>
  </w:num>
  <w:num w:numId="5" w16cid:durableId="1913274299">
    <w:abstractNumId w:val="27"/>
  </w:num>
  <w:num w:numId="6" w16cid:durableId="1388336972">
    <w:abstractNumId w:val="13"/>
  </w:num>
  <w:num w:numId="7" w16cid:durableId="340819906">
    <w:abstractNumId w:val="16"/>
  </w:num>
  <w:num w:numId="8" w16cid:durableId="480079228">
    <w:abstractNumId w:val="16"/>
    <w:lvlOverride w:ilvl="0">
      <w:startOverride w:val="1"/>
    </w:lvlOverride>
  </w:num>
  <w:num w:numId="9" w16cid:durableId="1684865900">
    <w:abstractNumId w:val="16"/>
    <w:lvlOverride w:ilvl="0">
      <w:startOverride w:val="1"/>
    </w:lvlOverride>
  </w:num>
  <w:num w:numId="10" w16cid:durableId="1715887623">
    <w:abstractNumId w:val="16"/>
    <w:lvlOverride w:ilvl="0">
      <w:startOverride w:val="1"/>
    </w:lvlOverride>
  </w:num>
  <w:num w:numId="11" w16cid:durableId="852257601">
    <w:abstractNumId w:val="13"/>
    <w:lvlOverride w:ilvl="0">
      <w:startOverride w:val="1"/>
    </w:lvlOverride>
  </w:num>
  <w:num w:numId="12" w16cid:durableId="1892035916">
    <w:abstractNumId w:val="16"/>
    <w:lvlOverride w:ilvl="0">
      <w:startOverride w:val="1"/>
    </w:lvlOverride>
  </w:num>
  <w:num w:numId="13" w16cid:durableId="1794667654">
    <w:abstractNumId w:val="13"/>
    <w:lvlOverride w:ilvl="0">
      <w:startOverride w:val="1"/>
    </w:lvlOverride>
  </w:num>
  <w:num w:numId="14" w16cid:durableId="1696496485">
    <w:abstractNumId w:val="16"/>
    <w:lvlOverride w:ilvl="0">
      <w:startOverride w:val="1"/>
    </w:lvlOverride>
  </w:num>
  <w:num w:numId="15" w16cid:durableId="233439890">
    <w:abstractNumId w:val="30"/>
  </w:num>
  <w:num w:numId="16" w16cid:durableId="484592001">
    <w:abstractNumId w:val="4"/>
  </w:num>
  <w:num w:numId="17" w16cid:durableId="507989320">
    <w:abstractNumId w:val="26"/>
  </w:num>
  <w:num w:numId="18" w16cid:durableId="1388190873">
    <w:abstractNumId w:val="2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3105509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78394443">
    <w:abstractNumId w:val="11"/>
  </w:num>
  <w:num w:numId="21" w16cid:durableId="1572275762">
    <w:abstractNumId w:val="21"/>
  </w:num>
  <w:num w:numId="22" w16cid:durableId="920682169">
    <w:abstractNumId w:val="13"/>
    <w:lvlOverride w:ilvl="0">
      <w:startOverride w:val="1"/>
    </w:lvlOverride>
  </w:num>
  <w:num w:numId="23" w16cid:durableId="69623250">
    <w:abstractNumId w:val="16"/>
    <w:lvlOverride w:ilvl="0">
      <w:startOverride w:val="1"/>
    </w:lvlOverride>
  </w:num>
  <w:num w:numId="24" w16cid:durableId="76564471">
    <w:abstractNumId w:val="2"/>
  </w:num>
  <w:num w:numId="25" w16cid:durableId="398985013">
    <w:abstractNumId w:val="0"/>
  </w:num>
  <w:num w:numId="26" w16cid:durableId="515122803">
    <w:abstractNumId w:val="0"/>
    <w:lvlOverride w:ilvl="0">
      <w:startOverride w:val="1"/>
    </w:lvlOverride>
  </w:num>
  <w:num w:numId="27" w16cid:durableId="332491948">
    <w:abstractNumId w:val="23"/>
  </w:num>
  <w:num w:numId="28" w16cid:durableId="1609384691">
    <w:abstractNumId w:val="14"/>
  </w:num>
  <w:num w:numId="29" w16cid:durableId="1939021950">
    <w:abstractNumId w:val="8"/>
  </w:num>
  <w:num w:numId="30" w16cid:durableId="770779389">
    <w:abstractNumId w:val="3"/>
  </w:num>
  <w:num w:numId="31" w16cid:durableId="1875968675">
    <w:abstractNumId w:val="10"/>
  </w:num>
  <w:num w:numId="32" w16cid:durableId="664942126">
    <w:abstractNumId w:val="15"/>
  </w:num>
  <w:num w:numId="33" w16cid:durableId="959382376">
    <w:abstractNumId w:val="13"/>
    <w:lvlOverride w:ilvl="0">
      <w:startOverride w:val="1"/>
    </w:lvlOverride>
  </w:num>
  <w:num w:numId="34" w16cid:durableId="113255328">
    <w:abstractNumId w:val="13"/>
    <w:lvlOverride w:ilvl="0">
      <w:startOverride w:val="1"/>
    </w:lvlOverride>
  </w:num>
  <w:num w:numId="35" w16cid:durableId="792406205">
    <w:abstractNumId w:val="28"/>
  </w:num>
  <w:num w:numId="36" w16cid:durableId="2012023109">
    <w:abstractNumId w:val="20"/>
  </w:num>
  <w:num w:numId="37" w16cid:durableId="11855115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58633366">
    <w:abstractNumId w:val="25"/>
  </w:num>
  <w:num w:numId="39" w16cid:durableId="1356618327">
    <w:abstractNumId w:val="9"/>
  </w:num>
  <w:num w:numId="40" w16cid:durableId="705443832">
    <w:abstractNumId w:val="18"/>
  </w:num>
  <w:num w:numId="41" w16cid:durableId="20984038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81123940">
    <w:abstractNumId w:val="24"/>
  </w:num>
  <w:num w:numId="43" w16cid:durableId="1309281427">
    <w:abstractNumId w:val="29"/>
  </w:num>
  <w:num w:numId="44" w16cid:durableId="1243879440">
    <w:abstractNumId w:val="3"/>
  </w:num>
  <w:num w:numId="45" w16cid:durableId="13667557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87063847">
    <w:abstractNumId w:val="22"/>
  </w:num>
  <w:num w:numId="47" w16cid:durableId="153034398">
    <w:abstractNumId w:val="31"/>
  </w:num>
  <w:num w:numId="48" w16cid:durableId="1848402104">
    <w:abstractNumId w:val="5"/>
  </w:num>
  <w:num w:numId="49" w16cid:durableId="1379625635">
    <w:abstractNumId w:val="19"/>
  </w:num>
  <w:num w:numId="50" w16cid:durableId="155368845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20"/>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sFAAU8WvItAAAA"/>
  </w:docVars>
  <w:rsids>
    <w:rsidRoot w:val="00EB1F75"/>
    <w:rsid w:val="00000B73"/>
    <w:rsid w:val="00001C9B"/>
    <w:rsid w:val="000040DC"/>
    <w:rsid w:val="00004F5D"/>
    <w:rsid w:val="000053D7"/>
    <w:rsid w:val="000056F1"/>
    <w:rsid w:val="00011700"/>
    <w:rsid w:val="00014919"/>
    <w:rsid w:val="000151EF"/>
    <w:rsid w:val="000239F5"/>
    <w:rsid w:val="00023D33"/>
    <w:rsid w:val="000351AA"/>
    <w:rsid w:val="000458CE"/>
    <w:rsid w:val="0004739B"/>
    <w:rsid w:val="00050DA8"/>
    <w:rsid w:val="00051C58"/>
    <w:rsid w:val="00072E6C"/>
    <w:rsid w:val="0007359D"/>
    <w:rsid w:val="00074E73"/>
    <w:rsid w:val="00075A8B"/>
    <w:rsid w:val="00076F72"/>
    <w:rsid w:val="00080461"/>
    <w:rsid w:val="00081CE0"/>
    <w:rsid w:val="00081E73"/>
    <w:rsid w:val="0008612A"/>
    <w:rsid w:val="00086DA2"/>
    <w:rsid w:val="0008798C"/>
    <w:rsid w:val="00090E18"/>
    <w:rsid w:val="000A0E52"/>
    <w:rsid w:val="000A10BC"/>
    <w:rsid w:val="000A11EF"/>
    <w:rsid w:val="000A441B"/>
    <w:rsid w:val="000B000F"/>
    <w:rsid w:val="000B0056"/>
    <w:rsid w:val="000B234F"/>
    <w:rsid w:val="000B3DED"/>
    <w:rsid w:val="000B615F"/>
    <w:rsid w:val="000B693E"/>
    <w:rsid w:val="000C2697"/>
    <w:rsid w:val="000C3C7B"/>
    <w:rsid w:val="000C6BFA"/>
    <w:rsid w:val="000D0F93"/>
    <w:rsid w:val="000D45CF"/>
    <w:rsid w:val="000D6AB3"/>
    <w:rsid w:val="000D7037"/>
    <w:rsid w:val="000E0B1E"/>
    <w:rsid w:val="000E12ED"/>
    <w:rsid w:val="000F51FF"/>
    <w:rsid w:val="0010289D"/>
    <w:rsid w:val="00102D04"/>
    <w:rsid w:val="001053ED"/>
    <w:rsid w:val="00106416"/>
    <w:rsid w:val="00107285"/>
    <w:rsid w:val="001076A5"/>
    <w:rsid w:val="00110481"/>
    <w:rsid w:val="001127C9"/>
    <w:rsid w:val="00115B88"/>
    <w:rsid w:val="00121424"/>
    <w:rsid w:val="001234FF"/>
    <w:rsid w:val="001264E7"/>
    <w:rsid w:val="001315D1"/>
    <w:rsid w:val="00131F53"/>
    <w:rsid w:val="00132F6A"/>
    <w:rsid w:val="001335E9"/>
    <w:rsid w:val="00133913"/>
    <w:rsid w:val="0013734C"/>
    <w:rsid w:val="00140221"/>
    <w:rsid w:val="00144A12"/>
    <w:rsid w:val="001455EB"/>
    <w:rsid w:val="00160AD5"/>
    <w:rsid w:val="00160EE6"/>
    <w:rsid w:val="001642FC"/>
    <w:rsid w:val="0016457E"/>
    <w:rsid w:val="0016496B"/>
    <w:rsid w:val="00164B6C"/>
    <w:rsid w:val="0016539F"/>
    <w:rsid w:val="001671F8"/>
    <w:rsid w:val="00171FAD"/>
    <w:rsid w:val="001743E2"/>
    <w:rsid w:val="001745F8"/>
    <w:rsid w:val="0017498D"/>
    <w:rsid w:val="00176B32"/>
    <w:rsid w:val="001772D1"/>
    <w:rsid w:val="001838CF"/>
    <w:rsid w:val="001840F5"/>
    <w:rsid w:val="001850E2"/>
    <w:rsid w:val="001868EE"/>
    <w:rsid w:val="00191CDC"/>
    <w:rsid w:val="00193E3D"/>
    <w:rsid w:val="0019635A"/>
    <w:rsid w:val="001A125F"/>
    <w:rsid w:val="001A3BA4"/>
    <w:rsid w:val="001A6D1F"/>
    <w:rsid w:val="001B1234"/>
    <w:rsid w:val="001B283C"/>
    <w:rsid w:val="001C1154"/>
    <w:rsid w:val="001C1C4D"/>
    <w:rsid w:val="001C239E"/>
    <w:rsid w:val="001C23ED"/>
    <w:rsid w:val="001C340C"/>
    <w:rsid w:val="001C62E5"/>
    <w:rsid w:val="001C7AC0"/>
    <w:rsid w:val="001D48AD"/>
    <w:rsid w:val="001D4E60"/>
    <w:rsid w:val="001D6391"/>
    <w:rsid w:val="001E30F6"/>
    <w:rsid w:val="001F2388"/>
    <w:rsid w:val="001F2CD0"/>
    <w:rsid w:val="00201FBE"/>
    <w:rsid w:val="00203F6B"/>
    <w:rsid w:val="0020634F"/>
    <w:rsid w:val="00206615"/>
    <w:rsid w:val="00206904"/>
    <w:rsid w:val="00207E0F"/>
    <w:rsid w:val="00211A92"/>
    <w:rsid w:val="002163B7"/>
    <w:rsid w:val="00217EE5"/>
    <w:rsid w:val="00221FEA"/>
    <w:rsid w:val="00224630"/>
    <w:rsid w:val="0022571B"/>
    <w:rsid w:val="00235F5C"/>
    <w:rsid w:val="0023763D"/>
    <w:rsid w:val="002377AC"/>
    <w:rsid w:val="00237984"/>
    <w:rsid w:val="002439F7"/>
    <w:rsid w:val="002467DA"/>
    <w:rsid w:val="00252094"/>
    <w:rsid w:val="00257FA3"/>
    <w:rsid w:val="002634FC"/>
    <w:rsid w:val="00270961"/>
    <w:rsid w:val="00271D06"/>
    <w:rsid w:val="0027701A"/>
    <w:rsid w:val="00277425"/>
    <w:rsid w:val="00277B56"/>
    <w:rsid w:val="00280FCF"/>
    <w:rsid w:val="00282249"/>
    <w:rsid w:val="00282B24"/>
    <w:rsid w:val="00283B8E"/>
    <w:rsid w:val="00285E65"/>
    <w:rsid w:val="002956CF"/>
    <w:rsid w:val="002A07CF"/>
    <w:rsid w:val="002A0886"/>
    <w:rsid w:val="002A19F5"/>
    <w:rsid w:val="002A3362"/>
    <w:rsid w:val="002A5175"/>
    <w:rsid w:val="002A596B"/>
    <w:rsid w:val="002A6430"/>
    <w:rsid w:val="002B4922"/>
    <w:rsid w:val="002B4DAB"/>
    <w:rsid w:val="002B720A"/>
    <w:rsid w:val="002C113F"/>
    <w:rsid w:val="002C1919"/>
    <w:rsid w:val="002C22BE"/>
    <w:rsid w:val="002C22C3"/>
    <w:rsid w:val="002C2D19"/>
    <w:rsid w:val="002C4459"/>
    <w:rsid w:val="002D10FA"/>
    <w:rsid w:val="002D4123"/>
    <w:rsid w:val="002D4C55"/>
    <w:rsid w:val="002D637D"/>
    <w:rsid w:val="002E4268"/>
    <w:rsid w:val="002E6DED"/>
    <w:rsid w:val="002F0BF6"/>
    <w:rsid w:val="00300956"/>
    <w:rsid w:val="00311431"/>
    <w:rsid w:val="00317187"/>
    <w:rsid w:val="00317A75"/>
    <w:rsid w:val="003214F4"/>
    <w:rsid w:val="0032499A"/>
    <w:rsid w:val="00324BCA"/>
    <w:rsid w:val="00333A7D"/>
    <w:rsid w:val="003341F7"/>
    <w:rsid w:val="00335A67"/>
    <w:rsid w:val="0034136C"/>
    <w:rsid w:val="003440A2"/>
    <w:rsid w:val="003444E2"/>
    <w:rsid w:val="00351024"/>
    <w:rsid w:val="0035154D"/>
    <w:rsid w:val="00351AEE"/>
    <w:rsid w:val="00354A01"/>
    <w:rsid w:val="00356F45"/>
    <w:rsid w:val="00357904"/>
    <w:rsid w:val="0036009B"/>
    <w:rsid w:val="00363723"/>
    <w:rsid w:val="0036530C"/>
    <w:rsid w:val="00366AB4"/>
    <w:rsid w:val="00366B74"/>
    <w:rsid w:val="00367C2E"/>
    <w:rsid w:val="00373DF3"/>
    <w:rsid w:val="0037477A"/>
    <w:rsid w:val="0038160A"/>
    <w:rsid w:val="00382372"/>
    <w:rsid w:val="003862E5"/>
    <w:rsid w:val="00391543"/>
    <w:rsid w:val="00393732"/>
    <w:rsid w:val="00394D4F"/>
    <w:rsid w:val="003966D8"/>
    <w:rsid w:val="003A6C11"/>
    <w:rsid w:val="003A710A"/>
    <w:rsid w:val="003B4092"/>
    <w:rsid w:val="003B4597"/>
    <w:rsid w:val="003B540D"/>
    <w:rsid w:val="003B60FB"/>
    <w:rsid w:val="003B659E"/>
    <w:rsid w:val="003C1BD1"/>
    <w:rsid w:val="003D609B"/>
    <w:rsid w:val="003E0C25"/>
    <w:rsid w:val="003E16E6"/>
    <w:rsid w:val="003E7BC7"/>
    <w:rsid w:val="003F136B"/>
    <w:rsid w:val="003F52D0"/>
    <w:rsid w:val="003F61DC"/>
    <w:rsid w:val="00400098"/>
    <w:rsid w:val="00400327"/>
    <w:rsid w:val="00401717"/>
    <w:rsid w:val="00402138"/>
    <w:rsid w:val="00404C4C"/>
    <w:rsid w:val="00406929"/>
    <w:rsid w:val="00407559"/>
    <w:rsid w:val="004110EC"/>
    <w:rsid w:val="0041423F"/>
    <w:rsid w:val="00414AE3"/>
    <w:rsid w:val="00414F81"/>
    <w:rsid w:val="0042051C"/>
    <w:rsid w:val="0043011B"/>
    <w:rsid w:val="0043506A"/>
    <w:rsid w:val="00436A0F"/>
    <w:rsid w:val="00437150"/>
    <w:rsid w:val="00437478"/>
    <w:rsid w:val="0043750A"/>
    <w:rsid w:val="00441344"/>
    <w:rsid w:val="00441A5D"/>
    <w:rsid w:val="00451353"/>
    <w:rsid w:val="00454460"/>
    <w:rsid w:val="00465B14"/>
    <w:rsid w:val="00465FF4"/>
    <w:rsid w:val="00472A3B"/>
    <w:rsid w:val="00473062"/>
    <w:rsid w:val="004732E9"/>
    <w:rsid w:val="00474B5E"/>
    <w:rsid w:val="00475900"/>
    <w:rsid w:val="0047699F"/>
    <w:rsid w:val="004807B0"/>
    <w:rsid w:val="004854BB"/>
    <w:rsid w:val="00491276"/>
    <w:rsid w:val="00496606"/>
    <w:rsid w:val="004A0980"/>
    <w:rsid w:val="004A19AE"/>
    <w:rsid w:val="004A3F51"/>
    <w:rsid w:val="004B3487"/>
    <w:rsid w:val="004B5913"/>
    <w:rsid w:val="004C0290"/>
    <w:rsid w:val="004C0661"/>
    <w:rsid w:val="004C5005"/>
    <w:rsid w:val="004C565E"/>
    <w:rsid w:val="004C6E11"/>
    <w:rsid w:val="004D03EF"/>
    <w:rsid w:val="004D14E8"/>
    <w:rsid w:val="004D1A34"/>
    <w:rsid w:val="004D56EB"/>
    <w:rsid w:val="004E0A9F"/>
    <w:rsid w:val="004E2142"/>
    <w:rsid w:val="004E225C"/>
    <w:rsid w:val="004E453D"/>
    <w:rsid w:val="004E5E66"/>
    <w:rsid w:val="004E7ADB"/>
    <w:rsid w:val="004F03A6"/>
    <w:rsid w:val="004F67C6"/>
    <w:rsid w:val="004F7C6A"/>
    <w:rsid w:val="00503B4D"/>
    <w:rsid w:val="00504EE9"/>
    <w:rsid w:val="00510114"/>
    <w:rsid w:val="00510E02"/>
    <w:rsid w:val="005112AB"/>
    <w:rsid w:val="00511DF1"/>
    <w:rsid w:val="00517191"/>
    <w:rsid w:val="005206C9"/>
    <w:rsid w:val="00522AD5"/>
    <w:rsid w:val="005250E6"/>
    <w:rsid w:val="00526704"/>
    <w:rsid w:val="00526BAD"/>
    <w:rsid w:val="00530390"/>
    <w:rsid w:val="0053233A"/>
    <w:rsid w:val="00533899"/>
    <w:rsid w:val="00537568"/>
    <w:rsid w:val="00541E19"/>
    <w:rsid w:val="00542D23"/>
    <w:rsid w:val="0054442C"/>
    <w:rsid w:val="00550285"/>
    <w:rsid w:val="0055296B"/>
    <w:rsid w:val="00552A84"/>
    <w:rsid w:val="00553E16"/>
    <w:rsid w:val="00555182"/>
    <w:rsid w:val="00557B91"/>
    <w:rsid w:val="00560348"/>
    <w:rsid w:val="00561C87"/>
    <w:rsid w:val="00562492"/>
    <w:rsid w:val="005636CE"/>
    <w:rsid w:val="00564446"/>
    <w:rsid w:val="00564D10"/>
    <w:rsid w:val="005709B3"/>
    <w:rsid w:val="00571932"/>
    <w:rsid w:val="00572A20"/>
    <w:rsid w:val="00572F68"/>
    <w:rsid w:val="005836F8"/>
    <w:rsid w:val="00587074"/>
    <w:rsid w:val="005918FA"/>
    <w:rsid w:val="00591C15"/>
    <w:rsid w:val="00592A86"/>
    <w:rsid w:val="005A0053"/>
    <w:rsid w:val="005A3841"/>
    <w:rsid w:val="005A564C"/>
    <w:rsid w:val="005A667F"/>
    <w:rsid w:val="005B2727"/>
    <w:rsid w:val="005B3623"/>
    <w:rsid w:val="005B4801"/>
    <w:rsid w:val="005B6D5A"/>
    <w:rsid w:val="005C23A4"/>
    <w:rsid w:val="005C4750"/>
    <w:rsid w:val="005C53DA"/>
    <w:rsid w:val="005D052E"/>
    <w:rsid w:val="005D0692"/>
    <w:rsid w:val="005D1CDF"/>
    <w:rsid w:val="005D2BB7"/>
    <w:rsid w:val="005E102D"/>
    <w:rsid w:val="005E48EE"/>
    <w:rsid w:val="005E61A8"/>
    <w:rsid w:val="005E62AF"/>
    <w:rsid w:val="005F1048"/>
    <w:rsid w:val="005F6051"/>
    <w:rsid w:val="005F6348"/>
    <w:rsid w:val="005F6419"/>
    <w:rsid w:val="005F6C93"/>
    <w:rsid w:val="005F794B"/>
    <w:rsid w:val="006017CC"/>
    <w:rsid w:val="006041BF"/>
    <w:rsid w:val="0060543D"/>
    <w:rsid w:val="0060785E"/>
    <w:rsid w:val="006104DD"/>
    <w:rsid w:val="006130B5"/>
    <w:rsid w:val="006160DE"/>
    <w:rsid w:val="00616B07"/>
    <w:rsid w:val="00617400"/>
    <w:rsid w:val="006175B6"/>
    <w:rsid w:val="00626B42"/>
    <w:rsid w:val="006275D3"/>
    <w:rsid w:val="00632D29"/>
    <w:rsid w:val="00633129"/>
    <w:rsid w:val="00641660"/>
    <w:rsid w:val="006461E0"/>
    <w:rsid w:val="00647A24"/>
    <w:rsid w:val="00650EFE"/>
    <w:rsid w:val="00650FB9"/>
    <w:rsid w:val="006622E4"/>
    <w:rsid w:val="0066397D"/>
    <w:rsid w:val="00664950"/>
    <w:rsid w:val="0067181F"/>
    <w:rsid w:val="0067470E"/>
    <w:rsid w:val="00674D7F"/>
    <w:rsid w:val="00680732"/>
    <w:rsid w:val="00683220"/>
    <w:rsid w:val="00687E12"/>
    <w:rsid w:val="00687FA0"/>
    <w:rsid w:val="00693DA6"/>
    <w:rsid w:val="00695112"/>
    <w:rsid w:val="006A3C11"/>
    <w:rsid w:val="006A690D"/>
    <w:rsid w:val="006A69BB"/>
    <w:rsid w:val="006B0E0F"/>
    <w:rsid w:val="006B7010"/>
    <w:rsid w:val="006B760E"/>
    <w:rsid w:val="006C3095"/>
    <w:rsid w:val="006D0F02"/>
    <w:rsid w:val="006D31E0"/>
    <w:rsid w:val="006D72C0"/>
    <w:rsid w:val="006D7528"/>
    <w:rsid w:val="006E1151"/>
    <w:rsid w:val="006E3794"/>
    <w:rsid w:val="006E41C3"/>
    <w:rsid w:val="006E6311"/>
    <w:rsid w:val="006F1A00"/>
    <w:rsid w:val="006F4EC7"/>
    <w:rsid w:val="006F5D57"/>
    <w:rsid w:val="006F6EB2"/>
    <w:rsid w:val="007002A8"/>
    <w:rsid w:val="00702BD2"/>
    <w:rsid w:val="00703ABA"/>
    <w:rsid w:val="00703BEE"/>
    <w:rsid w:val="00704BBB"/>
    <w:rsid w:val="00704E25"/>
    <w:rsid w:val="00705A3F"/>
    <w:rsid w:val="00707CC6"/>
    <w:rsid w:val="00707DD9"/>
    <w:rsid w:val="00713B40"/>
    <w:rsid w:val="00713FBF"/>
    <w:rsid w:val="007145FF"/>
    <w:rsid w:val="00715B2A"/>
    <w:rsid w:val="00721E8F"/>
    <w:rsid w:val="007233ED"/>
    <w:rsid w:val="00726990"/>
    <w:rsid w:val="00726C3A"/>
    <w:rsid w:val="00727A12"/>
    <w:rsid w:val="00730419"/>
    <w:rsid w:val="00740469"/>
    <w:rsid w:val="00742B89"/>
    <w:rsid w:val="00743B1C"/>
    <w:rsid w:val="00744B84"/>
    <w:rsid w:val="007450F1"/>
    <w:rsid w:val="00745EB0"/>
    <w:rsid w:val="00751515"/>
    <w:rsid w:val="007626B7"/>
    <w:rsid w:val="007706F4"/>
    <w:rsid w:val="00770A50"/>
    <w:rsid w:val="00770DFE"/>
    <w:rsid w:val="00777FDA"/>
    <w:rsid w:val="007811D7"/>
    <w:rsid w:val="0078212B"/>
    <w:rsid w:val="00783F33"/>
    <w:rsid w:val="00784DF6"/>
    <w:rsid w:val="00785232"/>
    <w:rsid w:val="00787905"/>
    <w:rsid w:val="00791A4A"/>
    <w:rsid w:val="007926D5"/>
    <w:rsid w:val="00792702"/>
    <w:rsid w:val="007951B1"/>
    <w:rsid w:val="00796232"/>
    <w:rsid w:val="007A7179"/>
    <w:rsid w:val="007B186C"/>
    <w:rsid w:val="007B2476"/>
    <w:rsid w:val="007B296B"/>
    <w:rsid w:val="007B2F7A"/>
    <w:rsid w:val="007B327E"/>
    <w:rsid w:val="007C1696"/>
    <w:rsid w:val="007C3ED0"/>
    <w:rsid w:val="007C5971"/>
    <w:rsid w:val="007D1A1A"/>
    <w:rsid w:val="007E0BEA"/>
    <w:rsid w:val="007E4531"/>
    <w:rsid w:val="007E6BE0"/>
    <w:rsid w:val="007F54B9"/>
    <w:rsid w:val="00805047"/>
    <w:rsid w:val="0080558A"/>
    <w:rsid w:val="00806A76"/>
    <w:rsid w:val="00811711"/>
    <w:rsid w:val="00811C9D"/>
    <w:rsid w:val="00812CA6"/>
    <w:rsid w:val="00816C80"/>
    <w:rsid w:val="008203F7"/>
    <w:rsid w:val="0082044C"/>
    <w:rsid w:val="00820B7A"/>
    <w:rsid w:val="00821559"/>
    <w:rsid w:val="008217F7"/>
    <w:rsid w:val="00821F0F"/>
    <w:rsid w:val="0083284E"/>
    <w:rsid w:val="0083636B"/>
    <w:rsid w:val="00841BCD"/>
    <w:rsid w:val="008425A3"/>
    <w:rsid w:val="00842FE8"/>
    <w:rsid w:val="00843741"/>
    <w:rsid w:val="00843EE7"/>
    <w:rsid w:val="00844FEC"/>
    <w:rsid w:val="00845788"/>
    <w:rsid w:val="00847465"/>
    <w:rsid w:val="00850907"/>
    <w:rsid w:val="00851110"/>
    <w:rsid w:val="00851A8E"/>
    <w:rsid w:val="0085365B"/>
    <w:rsid w:val="00854286"/>
    <w:rsid w:val="00855495"/>
    <w:rsid w:val="00855B26"/>
    <w:rsid w:val="00857150"/>
    <w:rsid w:val="00861031"/>
    <w:rsid w:val="00863E44"/>
    <w:rsid w:val="008654FA"/>
    <w:rsid w:val="0087209C"/>
    <w:rsid w:val="00881735"/>
    <w:rsid w:val="008826C1"/>
    <w:rsid w:val="00883DFD"/>
    <w:rsid w:val="00887698"/>
    <w:rsid w:val="00895218"/>
    <w:rsid w:val="00897BF9"/>
    <w:rsid w:val="008A1BF7"/>
    <w:rsid w:val="008A3BD3"/>
    <w:rsid w:val="008A5B0E"/>
    <w:rsid w:val="008B0961"/>
    <w:rsid w:val="008B0FFF"/>
    <w:rsid w:val="008B36BE"/>
    <w:rsid w:val="008B5CB9"/>
    <w:rsid w:val="008B69A6"/>
    <w:rsid w:val="008C1293"/>
    <w:rsid w:val="008C1AAF"/>
    <w:rsid w:val="008C4187"/>
    <w:rsid w:val="008C44AA"/>
    <w:rsid w:val="008C4A4A"/>
    <w:rsid w:val="008D2904"/>
    <w:rsid w:val="008D6841"/>
    <w:rsid w:val="008E0684"/>
    <w:rsid w:val="008E24BF"/>
    <w:rsid w:val="008E3773"/>
    <w:rsid w:val="008E4A29"/>
    <w:rsid w:val="008E5C2C"/>
    <w:rsid w:val="008F1046"/>
    <w:rsid w:val="008F59CD"/>
    <w:rsid w:val="008F7160"/>
    <w:rsid w:val="0090091A"/>
    <w:rsid w:val="00900FA0"/>
    <w:rsid w:val="00901459"/>
    <w:rsid w:val="009042BD"/>
    <w:rsid w:val="00906F05"/>
    <w:rsid w:val="0091288F"/>
    <w:rsid w:val="009147CA"/>
    <w:rsid w:val="00915904"/>
    <w:rsid w:val="00915B8E"/>
    <w:rsid w:val="0092540F"/>
    <w:rsid w:val="009274E9"/>
    <w:rsid w:val="00927585"/>
    <w:rsid w:val="00935D1E"/>
    <w:rsid w:val="00936159"/>
    <w:rsid w:val="00941164"/>
    <w:rsid w:val="009420E8"/>
    <w:rsid w:val="00947AC0"/>
    <w:rsid w:val="009503A0"/>
    <w:rsid w:val="00953A2A"/>
    <w:rsid w:val="009541AA"/>
    <w:rsid w:val="00956725"/>
    <w:rsid w:val="00961C5F"/>
    <w:rsid w:val="00962403"/>
    <w:rsid w:val="00963315"/>
    <w:rsid w:val="0096613A"/>
    <w:rsid w:val="00971789"/>
    <w:rsid w:val="00972F5D"/>
    <w:rsid w:val="00972F9A"/>
    <w:rsid w:val="009758CA"/>
    <w:rsid w:val="00976F78"/>
    <w:rsid w:val="00977E1D"/>
    <w:rsid w:val="00981F8D"/>
    <w:rsid w:val="00982032"/>
    <w:rsid w:val="0099068B"/>
    <w:rsid w:val="009949A2"/>
    <w:rsid w:val="00995FBC"/>
    <w:rsid w:val="00996E4E"/>
    <w:rsid w:val="009A4647"/>
    <w:rsid w:val="009A61FE"/>
    <w:rsid w:val="009B0573"/>
    <w:rsid w:val="009B0C66"/>
    <w:rsid w:val="009B2D6E"/>
    <w:rsid w:val="009B6077"/>
    <w:rsid w:val="009B7B4B"/>
    <w:rsid w:val="009B7C21"/>
    <w:rsid w:val="009C17B1"/>
    <w:rsid w:val="009D061F"/>
    <w:rsid w:val="009D7653"/>
    <w:rsid w:val="009F4245"/>
    <w:rsid w:val="009F5D28"/>
    <w:rsid w:val="009F62D3"/>
    <w:rsid w:val="009F666A"/>
    <w:rsid w:val="00A021CB"/>
    <w:rsid w:val="00A04992"/>
    <w:rsid w:val="00A11AF4"/>
    <w:rsid w:val="00A121E6"/>
    <w:rsid w:val="00A147AA"/>
    <w:rsid w:val="00A219A8"/>
    <w:rsid w:val="00A21D71"/>
    <w:rsid w:val="00A21FE8"/>
    <w:rsid w:val="00A22B78"/>
    <w:rsid w:val="00A23871"/>
    <w:rsid w:val="00A23DC1"/>
    <w:rsid w:val="00A25AE5"/>
    <w:rsid w:val="00A31D51"/>
    <w:rsid w:val="00A365E4"/>
    <w:rsid w:val="00A36ED4"/>
    <w:rsid w:val="00A37002"/>
    <w:rsid w:val="00A4355E"/>
    <w:rsid w:val="00A44E9C"/>
    <w:rsid w:val="00A45D0C"/>
    <w:rsid w:val="00A4729D"/>
    <w:rsid w:val="00A56E0C"/>
    <w:rsid w:val="00A63FDF"/>
    <w:rsid w:val="00A668EF"/>
    <w:rsid w:val="00A67F7E"/>
    <w:rsid w:val="00A7609C"/>
    <w:rsid w:val="00A83B2E"/>
    <w:rsid w:val="00A8470D"/>
    <w:rsid w:val="00A9089A"/>
    <w:rsid w:val="00AA1B0E"/>
    <w:rsid w:val="00AA1EA9"/>
    <w:rsid w:val="00AA2048"/>
    <w:rsid w:val="00AA47B6"/>
    <w:rsid w:val="00AA56AD"/>
    <w:rsid w:val="00AA7D17"/>
    <w:rsid w:val="00AB0FD8"/>
    <w:rsid w:val="00AB1C90"/>
    <w:rsid w:val="00AB2CF4"/>
    <w:rsid w:val="00AB5840"/>
    <w:rsid w:val="00AB6609"/>
    <w:rsid w:val="00AC163B"/>
    <w:rsid w:val="00AC1D1A"/>
    <w:rsid w:val="00AC1EEF"/>
    <w:rsid w:val="00AC2561"/>
    <w:rsid w:val="00AC308D"/>
    <w:rsid w:val="00AC5CA7"/>
    <w:rsid w:val="00AC6058"/>
    <w:rsid w:val="00AC7E31"/>
    <w:rsid w:val="00AD3817"/>
    <w:rsid w:val="00AD3DAE"/>
    <w:rsid w:val="00AD58FA"/>
    <w:rsid w:val="00AE2BA5"/>
    <w:rsid w:val="00AE56B1"/>
    <w:rsid w:val="00AE6742"/>
    <w:rsid w:val="00AE6D09"/>
    <w:rsid w:val="00AF2E08"/>
    <w:rsid w:val="00AF7A7C"/>
    <w:rsid w:val="00B00A08"/>
    <w:rsid w:val="00B050E2"/>
    <w:rsid w:val="00B07D9B"/>
    <w:rsid w:val="00B11155"/>
    <w:rsid w:val="00B20199"/>
    <w:rsid w:val="00B32CCD"/>
    <w:rsid w:val="00B37950"/>
    <w:rsid w:val="00B408B6"/>
    <w:rsid w:val="00B4563B"/>
    <w:rsid w:val="00B542DA"/>
    <w:rsid w:val="00B54D9D"/>
    <w:rsid w:val="00B559AD"/>
    <w:rsid w:val="00B5618A"/>
    <w:rsid w:val="00B5720D"/>
    <w:rsid w:val="00B60662"/>
    <w:rsid w:val="00B61E06"/>
    <w:rsid w:val="00B660D3"/>
    <w:rsid w:val="00B71D50"/>
    <w:rsid w:val="00B73862"/>
    <w:rsid w:val="00B73ED7"/>
    <w:rsid w:val="00B73F43"/>
    <w:rsid w:val="00B7783E"/>
    <w:rsid w:val="00B80FED"/>
    <w:rsid w:val="00B82B15"/>
    <w:rsid w:val="00B82F22"/>
    <w:rsid w:val="00B85BCD"/>
    <w:rsid w:val="00B90FDE"/>
    <w:rsid w:val="00B977DB"/>
    <w:rsid w:val="00B97DA2"/>
    <w:rsid w:val="00BA02A8"/>
    <w:rsid w:val="00BA2C2F"/>
    <w:rsid w:val="00BA53B9"/>
    <w:rsid w:val="00BA6B66"/>
    <w:rsid w:val="00BA6E16"/>
    <w:rsid w:val="00BA6E48"/>
    <w:rsid w:val="00BA7345"/>
    <w:rsid w:val="00BB0199"/>
    <w:rsid w:val="00BB08E7"/>
    <w:rsid w:val="00BB49FB"/>
    <w:rsid w:val="00BB5394"/>
    <w:rsid w:val="00BC02D4"/>
    <w:rsid w:val="00BC1D4F"/>
    <w:rsid w:val="00BD186B"/>
    <w:rsid w:val="00BD42AF"/>
    <w:rsid w:val="00BD606B"/>
    <w:rsid w:val="00BD75BE"/>
    <w:rsid w:val="00BE0AF6"/>
    <w:rsid w:val="00BE1F03"/>
    <w:rsid w:val="00BE3393"/>
    <w:rsid w:val="00BE586D"/>
    <w:rsid w:val="00BE58A7"/>
    <w:rsid w:val="00BF0FE9"/>
    <w:rsid w:val="00BF2218"/>
    <w:rsid w:val="00BF6508"/>
    <w:rsid w:val="00BF715C"/>
    <w:rsid w:val="00C036A3"/>
    <w:rsid w:val="00C0426B"/>
    <w:rsid w:val="00C045DF"/>
    <w:rsid w:val="00C07522"/>
    <w:rsid w:val="00C158EC"/>
    <w:rsid w:val="00C22401"/>
    <w:rsid w:val="00C24555"/>
    <w:rsid w:val="00C24BAE"/>
    <w:rsid w:val="00C25AE7"/>
    <w:rsid w:val="00C26D43"/>
    <w:rsid w:val="00C331B0"/>
    <w:rsid w:val="00C33FFD"/>
    <w:rsid w:val="00C34B48"/>
    <w:rsid w:val="00C41A6B"/>
    <w:rsid w:val="00C4200F"/>
    <w:rsid w:val="00C4261E"/>
    <w:rsid w:val="00C44546"/>
    <w:rsid w:val="00C44E56"/>
    <w:rsid w:val="00C46548"/>
    <w:rsid w:val="00C53763"/>
    <w:rsid w:val="00C574D5"/>
    <w:rsid w:val="00C61839"/>
    <w:rsid w:val="00C6238E"/>
    <w:rsid w:val="00C6243A"/>
    <w:rsid w:val="00C72467"/>
    <w:rsid w:val="00C73B0A"/>
    <w:rsid w:val="00C73F32"/>
    <w:rsid w:val="00C812D7"/>
    <w:rsid w:val="00C83329"/>
    <w:rsid w:val="00C8668B"/>
    <w:rsid w:val="00C87462"/>
    <w:rsid w:val="00C874BD"/>
    <w:rsid w:val="00C95E71"/>
    <w:rsid w:val="00CA180C"/>
    <w:rsid w:val="00CA4F03"/>
    <w:rsid w:val="00CA5563"/>
    <w:rsid w:val="00CB22B2"/>
    <w:rsid w:val="00CB4465"/>
    <w:rsid w:val="00CB501C"/>
    <w:rsid w:val="00CB50D5"/>
    <w:rsid w:val="00CC3EE2"/>
    <w:rsid w:val="00CC7014"/>
    <w:rsid w:val="00CC706F"/>
    <w:rsid w:val="00CD0CF6"/>
    <w:rsid w:val="00CD4DA4"/>
    <w:rsid w:val="00CD58C6"/>
    <w:rsid w:val="00CD7492"/>
    <w:rsid w:val="00CE057B"/>
    <w:rsid w:val="00CE104C"/>
    <w:rsid w:val="00CE3A6B"/>
    <w:rsid w:val="00CE57FB"/>
    <w:rsid w:val="00CE5C09"/>
    <w:rsid w:val="00CF1A5D"/>
    <w:rsid w:val="00CF289D"/>
    <w:rsid w:val="00D00211"/>
    <w:rsid w:val="00D00ECA"/>
    <w:rsid w:val="00D01285"/>
    <w:rsid w:val="00D01A74"/>
    <w:rsid w:val="00D06309"/>
    <w:rsid w:val="00D07055"/>
    <w:rsid w:val="00D11473"/>
    <w:rsid w:val="00D12715"/>
    <w:rsid w:val="00D14E62"/>
    <w:rsid w:val="00D1575A"/>
    <w:rsid w:val="00D1739D"/>
    <w:rsid w:val="00D17A9D"/>
    <w:rsid w:val="00D22A4E"/>
    <w:rsid w:val="00D24348"/>
    <w:rsid w:val="00D24F11"/>
    <w:rsid w:val="00D25349"/>
    <w:rsid w:val="00D346F9"/>
    <w:rsid w:val="00D351EA"/>
    <w:rsid w:val="00D3525F"/>
    <w:rsid w:val="00D35C75"/>
    <w:rsid w:val="00D40288"/>
    <w:rsid w:val="00D41B7A"/>
    <w:rsid w:val="00D4297E"/>
    <w:rsid w:val="00D43403"/>
    <w:rsid w:val="00D43BC0"/>
    <w:rsid w:val="00D5270B"/>
    <w:rsid w:val="00D55CFB"/>
    <w:rsid w:val="00D60D90"/>
    <w:rsid w:val="00D61D1E"/>
    <w:rsid w:val="00D62E71"/>
    <w:rsid w:val="00D63C01"/>
    <w:rsid w:val="00D6430D"/>
    <w:rsid w:val="00D651CD"/>
    <w:rsid w:val="00D6577E"/>
    <w:rsid w:val="00D66188"/>
    <w:rsid w:val="00D67ABC"/>
    <w:rsid w:val="00D731F6"/>
    <w:rsid w:val="00D735DC"/>
    <w:rsid w:val="00D740CA"/>
    <w:rsid w:val="00D85728"/>
    <w:rsid w:val="00D85D94"/>
    <w:rsid w:val="00D90438"/>
    <w:rsid w:val="00D92CCD"/>
    <w:rsid w:val="00D9395D"/>
    <w:rsid w:val="00D95481"/>
    <w:rsid w:val="00D977C4"/>
    <w:rsid w:val="00DA0604"/>
    <w:rsid w:val="00DA1DD1"/>
    <w:rsid w:val="00DA3960"/>
    <w:rsid w:val="00DA405C"/>
    <w:rsid w:val="00DA5330"/>
    <w:rsid w:val="00DA6972"/>
    <w:rsid w:val="00DB30D4"/>
    <w:rsid w:val="00DB4115"/>
    <w:rsid w:val="00DB4582"/>
    <w:rsid w:val="00DC159A"/>
    <w:rsid w:val="00DC2DCA"/>
    <w:rsid w:val="00DC4C61"/>
    <w:rsid w:val="00DC6049"/>
    <w:rsid w:val="00DC6A64"/>
    <w:rsid w:val="00DC7A13"/>
    <w:rsid w:val="00DD3EDD"/>
    <w:rsid w:val="00DD489E"/>
    <w:rsid w:val="00DD48CA"/>
    <w:rsid w:val="00DD78DC"/>
    <w:rsid w:val="00DD7EFF"/>
    <w:rsid w:val="00DE329E"/>
    <w:rsid w:val="00DE35E5"/>
    <w:rsid w:val="00DE638A"/>
    <w:rsid w:val="00DF05C6"/>
    <w:rsid w:val="00DF119D"/>
    <w:rsid w:val="00DF2997"/>
    <w:rsid w:val="00DF5163"/>
    <w:rsid w:val="00E03103"/>
    <w:rsid w:val="00E05C84"/>
    <w:rsid w:val="00E06AF7"/>
    <w:rsid w:val="00E06C0F"/>
    <w:rsid w:val="00E10BC4"/>
    <w:rsid w:val="00E1415D"/>
    <w:rsid w:val="00E16575"/>
    <w:rsid w:val="00E17682"/>
    <w:rsid w:val="00E21A84"/>
    <w:rsid w:val="00E21F4F"/>
    <w:rsid w:val="00E323E9"/>
    <w:rsid w:val="00E32D31"/>
    <w:rsid w:val="00E34018"/>
    <w:rsid w:val="00E343B8"/>
    <w:rsid w:val="00E345BF"/>
    <w:rsid w:val="00E37DE3"/>
    <w:rsid w:val="00E37E81"/>
    <w:rsid w:val="00E42F8D"/>
    <w:rsid w:val="00E437D2"/>
    <w:rsid w:val="00E44F8C"/>
    <w:rsid w:val="00E46138"/>
    <w:rsid w:val="00E534C8"/>
    <w:rsid w:val="00E548A5"/>
    <w:rsid w:val="00E55751"/>
    <w:rsid w:val="00E61222"/>
    <w:rsid w:val="00E64013"/>
    <w:rsid w:val="00E648A4"/>
    <w:rsid w:val="00E653E4"/>
    <w:rsid w:val="00E713AF"/>
    <w:rsid w:val="00E90555"/>
    <w:rsid w:val="00E91295"/>
    <w:rsid w:val="00E946E2"/>
    <w:rsid w:val="00EA0AFD"/>
    <w:rsid w:val="00EA2311"/>
    <w:rsid w:val="00EA4158"/>
    <w:rsid w:val="00EA7AC2"/>
    <w:rsid w:val="00EB0CFB"/>
    <w:rsid w:val="00EB1F75"/>
    <w:rsid w:val="00EB3F15"/>
    <w:rsid w:val="00EB5FBA"/>
    <w:rsid w:val="00EB7DC0"/>
    <w:rsid w:val="00EC6323"/>
    <w:rsid w:val="00EC7970"/>
    <w:rsid w:val="00EC7BC3"/>
    <w:rsid w:val="00ED0BEB"/>
    <w:rsid w:val="00ED4335"/>
    <w:rsid w:val="00ED7600"/>
    <w:rsid w:val="00EE2782"/>
    <w:rsid w:val="00EE390C"/>
    <w:rsid w:val="00EE5147"/>
    <w:rsid w:val="00EE52CF"/>
    <w:rsid w:val="00EE67E8"/>
    <w:rsid w:val="00EF08BD"/>
    <w:rsid w:val="00EF6073"/>
    <w:rsid w:val="00EF698B"/>
    <w:rsid w:val="00EF6D38"/>
    <w:rsid w:val="00F06485"/>
    <w:rsid w:val="00F06A96"/>
    <w:rsid w:val="00F10E39"/>
    <w:rsid w:val="00F112DF"/>
    <w:rsid w:val="00F1362C"/>
    <w:rsid w:val="00F1400B"/>
    <w:rsid w:val="00F14B49"/>
    <w:rsid w:val="00F17513"/>
    <w:rsid w:val="00F20B1A"/>
    <w:rsid w:val="00F22B3B"/>
    <w:rsid w:val="00F23056"/>
    <w:rsid w:val="00F231AB"/>
    <w:rsid w:val="00F27235"/>
    <w:rsid w:val="00F32FD6"/>
    <w:rsid w:val="00F414F1"/>
    <w:rsid w:val="00F41832"/>
    <w:rsid w:val="00F44AFC"/>
    <w:rsid w:val="00F45FD8"/>
    <w:rsid w:val="00F46365"/>
    <w:rsid w:val="00F46757"/>
    <w:rsid w:val="00F508B8"/>
    <w:rsid w:val="00F51B66"/>
    <w:rsid w:val="00F61453"/>
    <w:rsid w:val="00F72CB1"/>
    <w:rsid w:val="00F74917"/>
    <w:rsid w:val="00F8215E"/>
    <w:rsid w:val="00F824F5"/>
    <w:rsid w:val="00F861DB"/>
    <w:rsid w:val="00F8695A"/>
    <w:rsid w:val="00F87E16"/>
    <w:rsid w:val="00F91CAF"/>
    <w:rsid w:val="00F9374D"/>
    <w:rsid w:val="00F96AA0"/>
    <w:rsid w:val="00FA1CF1"/>
    <w:rsid w:val="00FB27D4"/>
    <w:rsid w:val="00FB36EB"/>
    <w:rsid w:val="00FB6AE0"/>
    <w:rsid w:val="00FC29B9"/>
    <w:rsid w:val="00FC3808"/>
    <w:rsid w:val="00FC44A0"/>
    <w:rsid w:val="00FC51C2"/>
    <w:rsid w:val="00FC5A96"/>
    <w:rsid w:val="00FC6FD3"/>
    <w:rsid w:val="00FD34BD"/>
    <w:rsid w:val="00FD370B"/>
    <w:rsid w:val="00FD47BD"/>
    <w:rsid w:val="00FD5FB5"/>
    <w:rsid w:val="00FE305C"/>
    <w:rsid w:val="00FE5AAE"/>
    <w:rsid w:val="00FE6FA6"/>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6F01A34"/>
  <w15:chartTrackingRefBased/>
  <w15:docId w15:val="{32B13B30-A9BF-4A46-BE63-68424216E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Lista1,?? ??,?????,????,列出段落1,中等深浅网格 1 - 着色 21,列表段落,¥¡¡¡¡ì¬º¥¹¥È¶ÎÂä,ÁÐ³ö¶ÎÂä,列表段落1,—ño’i—Ž,¥ê¥¹¥È¶ÎÂä,1st level - Bullet List Paragraph,Lettre d'introduction,Paragrafo elenco,R4_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1"/>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Lista1 Char,?? ?? Char,????? Char,???? Char,列出段落1 Char,中等深浅网格 1 - 着色 21 Char,列表段落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3B4597"/>
    <w:rPr>
      <w:color w:val="2B579A"/>
      <w:shd w:val="clear" w:color="auto" w:fill="E1DFDD"/>
    </w:rPr>
  </w:style>
  <w:style w:type="paragraph" w:customStyle="1" w:styleId="TAL">
    <w:name w:val="TAL"/>
    <w:basedOn w:val="Normal"/>
    <w:rsid w:val="00E6122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Normal"/>
    <w:link w:val="TAHCar"/>
    <w:rsid w:val="00E61222"/>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rsid w:val="00E61222"/>
    <w:rPr>
      <w:rFonts w:ascii="Arial" w:eastAsia="Times New Roman" w:hAnsi="Arial" w:cs="Times New Roman"/>
      <w:b/>
      <w:sz w:val="18"/>
      <w:szCs w:val="20"/>
      <w:lang w:val="en-GB" w:eastAsia="en-GB"/>
    </w:rPr>
  </w:style>
  <w:style w:type="paragraph" w:styleId="Header">
    <w:name w:val="header"/>
    <w:basedOn w:val="Normal"/>
    <w:link w:val="HeaderChar"/>
    <w:uiPriority w:val="99"/>
    <w:semiHidden/>
    <w:unhideWhenUsed/>
    <w:rsid w:val="00393732"/>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8E0684"/>
    <w:rPr>
      <w:rFonts w:ascii="Times New Roman" w:hAnsi="Times New Roman"/>
      <w:sz w:val="20"/>
    </w:rPr>
  </w:style>
  <w:style w:type="paragraph" w:styleId="Footer">
    <w:name w:val="footer"/>
    <w:basedOn w:val="Normal"/>
    <w:link w:val="FooterChar"/>
    <w:uiPriority w:val="99"/>
    <w:semiHidden/>
    <w:unhideWhenUsed/>
    <w:rsid w:val="00393732"/>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8E0684"/>
    <w:rPr>
      <w:rFonts w:ascii="Times New Roman" w:hAnsi="Times New Roman"/>
      <w:sz w:val="20"/>
    </w:rPr>
  </w:style>
  <w:style w:type="paragraph" w:customStyle="1" w:styleId="TH">
    <w:name w:val="TH"/>
    <w:basedOn w:val="Normal"/>
    <w:link w:val="THChar"/>
    <w:rsid w:val="004C500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locked/>
    <w:rsid w:val="004C5005"/>
    <w:rPr>
      <w:rFonts w:ascii="Arial" w:eastAsia="Times New Roman" w:hAnsi="Arial" w:cs="Times New Roman"/>
      <w:b/>
      <w:sz w:val="20"/>
      <w:szCs w:val="20"/>
      <w:lang w:val="en-GB" w:eastAsia="en-GB"/>
    </w:rPr>
  </w:style>
  <w:style w:type="character" w:styleId="PlaceholderText">
    <w:name w:val="Placeholder Text"/>
    <w:basedOn w:val="DefaultParagraphFont"/>
    <w:uiPriority w:val="99"/>
    <w:semiHidden/>
    <w:rsid w:val="00391543"/>
    <w:rPr>
      <w:color w:val="808080"/>
    </w:rPr>
  </w:style>
  <w:style w:type="table" w:customStyle="1" w:styleId="TableGrid1">
    <w:name w:val="Table Grid1"/>
    <w:basedOn w:val="TableNormal"/>
    <w:uiPriority w:val="39"/>
    <w:qFormat/>
    <w:rsid w:val="00510E02"/>
    <w:pPr>
      <w:spacing w:after="0" w:line="240" w:lineRule="auto"/>
    </w:pPr>
    <w:rPr>
      <w:rFonts w:ascii="Arial" w:eastAsia="Calibri" w:hAnsi="Arial" w:cs="Times New Roman"/>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98202">
      <w:bodyDiv w:val="1"/>
      <w:marLeft w:val="0"/>
      <w:marRight w:val="0"/>
      <w:marTop w:val="0"/>
      <w:marBottom w:val="0"/>
      <w:divBdr>
        <w:top w:val="none" w:sz="0" w:space="0" w:color="auto"/>
        <w:left w:val="none" w:sz="0" w:space="0" w:color="auto"/>
        <w:bottom w:val="none" w:sz="0" w:space="0" w:color="auto"/>
        <w:right w:val="none" w:sz="0" w:space="0" w:color="auto"/>
      </w:divBdr>
    </w:div>
    <w:div w:id="729234719">
      <w:bodyDiv w:val="1"/>
      <w:marLeft w:val="0"/>
      <w:marRight w:val="0"/>
      <w:marTop w:val="0"/>
      <w:marBottom w:val="0"/>
      <w:divBdr>
        <w:top w:val="none" w:sz="0" w:space="0" w:color="auto"/>
        <w:left w:val="none" w:sz="0" w:space="0" w:color="auto"/>
        <w:bottom w:val="none" w:sz="0" w:space="0" w:color="auto"/>
        <w:right w:val="none" w:sz="0" w:space="0" w:color="auto"/>
      </w:divBdr>
    </w:div>
    <w:div w:id="870846138">
      <w:bodyDiv w:val="1"/>
      <w:marLeft w:val="0"/>
      <w:marRight w:val="0"/>
      <w:marTop w:val="0"/>
      <w:marBottom w:val="0"/>
      <w:divBdr>
        <w:top w:val="none" w:sz="0" w:space="0" w:color="auto"/>
        <w:left w:val="none" w:sz="0" w:space="0" w:color="auto"/>
        <w:bottom w:val="none" w:sz="0" w:space="0" w:color="auto"/>
        <w:right w:val="none" w:sz="0" w:space="0" w:color="auto"/>
      </w:divBdr>
    </w:div>
    <w:div w:id="958294804">
      <w:bodyDiv w:val="1"/>
      <w:marLeft w:val="0"/>
      <w:marRight w:val="0"/>
      <w:marTop w:val="0"/>
      <w:marBottom w:val="0"/>
      <w:divBdr>
        <w:top w:val="none" w:sz="0" w:space="0" w:color="auto"/>
        <w:left w:val="none" w:sz="0" w:space="0" w:color="auto"/>
        <w:bottom w:val="none" w:sz="0" w:space="0" w:color="auto"/>
        <w:right w:val="none" w:sz="0" w:space="0" w:color="auto"/>
      </w:divBdr>
    </w:div>
    <w:div w:id="1341740887">
      <w:bodyDiv w:val="1"/>
      <w:marLeft w:val="0"/>
      <w:marRight w:val="0"/>
      <w:marTop w:val="0"/>
      <w:marBottom w:val="0"/>
      <w:divBdr>
        <w:top w:val="none" w:sz="0" w:space="0" w:color="auto"/>
        <w:left w:val="none" w:sz="0" w:space="0" w:color="auto"/>
        <w:bottom w:val="none" w:sz="0" w:space="0" w:color="auto"/>
        <w:right w:val="none" w:sz="0" w:space="0" w:color="auto"/>
      </w:divBdr>
    </w:div>
    <w:div w:id="1513182116">
      <w:bodyDiv w:val="1"/>
      <w:marLeft w:val="0"/>
      <w:marRight w:val="0"/>
      <w:marTop w:val="0"/>
      <w:marBottom w:val="0"/>
      <w:divBdr>
        <w:top w:val="none" w:sz="0" w:space="0" w:color="auto"/>
        <w:left w:val="none" w:sz="0" w:space="0" w:color="auto"/>
        <w:bottom w:val="none" w:sz="0" w:space="0" w:color="auto"/>
        <w:right w:val="none" w:sz="0" w:space="0" w:color="auto"/>
      </w:divBdr>
    </w:div>
    <w:div w:id="1682582186">
      <w:bodyDiv w:val="1"/>
      <w:marLeft w:val="0"/>
      <w:marRight w:val="0"/>
      <w:marTop w:val="0"/>
      <w:marBottom w:val="0"/>
      <w:divBdr>
        <w:top w:val="none" w:sz="0" w:space="0" w:color="auto"/>
        <w:left w:val="none" w:sz="0" w:space="0" w:color="auto"/>
        <w:bottom w:val="none" w:sz="0" w:space="0" w:color="auto"/>
        <w:right w:val="none" w:sz="0" w:space="0" w:color="auto"/>
      </w:divBdr>
    </w:div>
    <w:div w:id="1954045940">
      <w:bodyDiv w:val="1"/>
      <w:marLeft w:val="0"/>
      <w:marRight w:val="0"/>
      <w:marTop w:val="0"/>
      <w:marBottom w:val="0"/>
      <w:divBdr>
        <w:top w:val="none" w:sz="0" w:space="0" w:color="auto"/>
        <w:left w:val="none" w:sz="0" w:space="0" w:color="auto"/>
        <w:bottom w:val="none" w:sz="0" w:space="0" w:color="auto"/>
        <w:right w:val="none" w:sz="0" w:space="0" w:color="auto"/>
      </w:divBdr>
    </w:div>
    <w:div w:id="213752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image" Target="media/image12.png"/><Relationship Id="rId39" Type="http://schemas.openxmlformats.org/officeDocument/2006/relationships/image" Target="media/image25.png"/><Relationship Id="rId21" Type="http://schemas.openxmlformats.org/officeDocument/2006/relationships/image" Target="media/image7.png"/><Relationship Id="rId34" Type="http://schemas.openxmlformats.org/officeDocument/2006/relationships/image" Target="media/image20.png"/><Relationship Id="rId42" Type="http://schemas.openxmlformats.org/officeDocument/2006/relationships/image" Target="media/image28.png"/><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Drawing1.vsdx"/><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22.png"/><Relationship Id="rId10" Type="http://schemas.openxmlformats.org/officeDocument/2006/relationships/webSettings" Target="webSettings.xml"/><Relationship Id="rId19" Type="http://schemas.openxmlformats.org/officeDocument/2006/relationships/image" Target="media/image5.png"/><Relationship Id="rId31" Type="http://schemas.openxmlformats.org/officeDocument/2006/relationships/image" Target="media/image17.png"/><Relationship Id="rId44" Type="http://schemas.openxmlformats.org/officeDocument/2006/relationships/image" Target="media/image30.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image" Target="media/image29.png"/><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image" Target="media/image24.png"/><Relationship Id="rId46" Type="http://schemas.openxmlformats.org/officeDocument/2006/relationships/theme" Target="theme/theme1.xml"/><Relationship Id="rId20" Type="http://schemas.openxmlformats.org/officeDocument/2006/relationships/image" Target="media/image6.png"/><Relationship Id="rId41" Type="http://schemas.openxmlformats.org/officeDocument/2006/relationships/image" Target="media/image2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5%20Toulouse\tdoc-template\3GPP_Paper_Template_RAN4_%23105%20-%20DimitriCop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5AIRPNAIUNRU-1328258698-21474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https://nokia.sharepoint.com/sites/c5g/5gradio/_layouts/15/DocIdRedir.aspx?ID=5AIRPNAIUNRU-1328258698-21474</Url>
      <Description>5AIRPNAIUNRU-1328258698-21474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3GPP_Paper_Template_RAN4_#105 - DimitriCopy</Template>
  <TotalTime>0</TotalTime>
  <Pages>10</Pages>
  <Words>2858</Words>
  <Characters>16292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(Dimitri Gold)</dc:creator>
  <cp:keywords>3GPP;RAN4</cp:keywords>
  <dc:description/>
  <cp:lastModifiedBy>Dimitri Gold (Nokia)</cp:lastModifiedBy>
  <cp:revision>2</cp:revision>
  <dcterms:created xsi:type="dcterms:W3CDTF">2023-04-10T09:50:00Z</dcterms:created>
  <dcterms:modified xsi:type="dcterms:W3CDTF">2023-04-10T09:50:00Z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fd9a8d99-33a5-4716-8471-2d52bac618db</vt:lpwstr>
  </property>
  <property fmtid="{D5CDD505-2E9C-101B-9397-08002B2CF9AE}" pid="11" name="MediaServiceImageTags">
    <vt:lpwstr/>
  </property>
</Properties>
</file>